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9FAF3" w14:textId="59F64037" w:rsidR="00C41686" w:rsidRPr="00F52CC3" w:rsidRDefault="00C41686" w:rsidP="00C41686">
      <w:pPr>
        <w:pStyle w:val="Title"/>
      </w:pPr>
      <w:r>
        <w:t>Silicon Power</w:t>
      </w:r>
      <w:r w:rsidRPr="00F52CC3">
        <w:t xml:space="preserve"> Warranty Process NZ</w:t>
      </w:r>
    </w:p>
    <w:p w14:paraId="77E38231" w14:textId="1A1AF0CA" w:rsidR="00C82E06" w:rsidRPr="00291E30" w:rsidRDefault="00C82E06" w:rsidP="00291E30">
      <w:pPr>
        <w:pStyle w:val="Heading1"/>
      </w:pPr>
      <w:r w:rsidRPr="00291E30">
        <w:t>Warranty Statement</w:t>
      </w:r>
    </w:p>
    <w:p w14:paraId="6E068111" w14:textId="77777777" w:rsidR="00C82E06" w:rsidRPr="00C82E06" w:rsidRDefault="00C82E06" w:rsidP="00291E30">
      <w:pPr>
        <w:pStyle w:val="paragraph"/>
      </w:pPr>
      <w:proofErr w:type="gramStart"/>
      <w:r w:rsidRPr="00291E30">
        <w:t>Silicon Power Computer &amp; Communications Inc.,</w:t>
      </w:r>
      <w:proofErr w:type="gramEnd"/>
      <w:r w:rsidRPr="00291E30">
        <w:t xml:space="preserve"> warrants to the original end users that all its flash products are free from defects in material and workmanship under normal use during the warranty period. Subject to the conditions and limitations set forth below: Silicon Power will, at its option, either repair or replace any part of its products that prove defective by reason of improper workmanship or materials. Repaired parts or replacement products will be provided by Silicon Power without charge for parts and </w:t>
      </w:r>
      <w:proofErr w:type="spellStart"/>
      <w:r w:rsidRPr="00291E30">
        <w:t>labor</w:t>
      </w:r>
      <w:proofErr w:type="spellEnd"/>
      <w:r w:rsidRPr="00291E30">
        <w:t>, and Silicon Power will either replace it with a new one or repair it to be functionally equivalent to a new one. Silicon Power may update the terms and conditions of this Warranty Service from time to time. Please refer to the latest version published on this website for your Silicon Power Product.</w:t>
      </w:r>
      <w:r w:rsidR="003B3B2E" w:rsidRPr="00291E30">
        <w:rPr>
          <w:rFonts w:hint="eastAsia"/>
        </w:rPr>
        <w:t xml:space="preserve"> </w:t>
      </w:r>
      <w:r w:rsidRPr="00291E30">
        <w:t>This limited warranty does not cover any damage to all products that result from</w:t>
      </w:r>
      <w:r w:rsidRPr="00C82E06">
        <w:t>:</w:t>
      </w:r>
    </w:p>
    <w:p w14:paraId="0A925F57" w14:textId="77777777" w:rsidR="00C82E06" w:rsidRPr="00291E30" w:rsidRDefault="00C82E06" w:rsidP="00291E30">
      <w:pPr>
        <w:pStyle w:val="ListParagraph"/>
        <w:numPr>
          <w:ilvl w:val="0"/>
          <w:numId w:val="6"/>
        </w:numPr>
      </w:pPr>
      <w:r w:rsidRPr="00291E30">
        <w:t>Improper installation, accidents, or negligence.</w:t>
      </w:r>
    </w:p>
    <w:p w14:paraId="2C605151" w14:textId="77777777" w:rsidR="00C82E06" w:rsidRPr="00291E30" w:rsidRDefault="00C82E06" w:rsidP="00291E30">
      <w:pPr>
        <w:pStyle w:val="ListParagraph"/>
        <w:numPr>
          <w:ilvl w:val="0"/>
          <w:numId w:val="6"/>
        </w:numPr>
      </w:pPr>
      <w:r w:rsidRPr="00291E30">
        <w:t>Abuse, misuse, any unauthorized disassembly, repair, or modification.</w:t>
      </w:r>
    </w:p>
    <w:p w14:paraId="061C598F" w14:textId="77777777" w:rsidR="00C82E06" w:rsidRPr="00291E30" w:rsidRDefault="00C82E06" w:rsidP="00291E30">
      <w:pPr>
        <w:pStyle w:val="ListParagraph"/>
        <w:numPr>
          <w:ilvl w:val="0"/>
          <w:numId w:val="6"/>
        </w:numPr>
      </w:pPr>
      <w:r w:rsidRPr="00291E30">
        <w:t>Unusual physical or electrical stress or interference, failure or fluctuation of electrical power, lightning, static electricity, fire, or acts of God. It also does not extend to any product.</w:t>
      </w:r>
    </w:p>
    <w:p w14:paraId="08A48138" w14:textId="77777777" w:rsidR="00C82E06" w:rsidRPr="00291E30" w:rsidRDefault="00C82E06" w:rsidP="00291E30">
      <w:pPr>
        <w:pStyle w:val="ListParagraph"/>
        <w:numPr>
          <w:ilvl w:val="0"/>
          <w:numId w:val="6"/>
        </w:numPr>
      </w:pPr>
      <w:r w:rsidRPr="00291E30">
        <w:t xml:space="preserve">Warranty or authenticity stickers have been altered, smeared, removed, </w:t>
      </w:r>
      <w:proofErr w:type="gramStart"/>
      <w:r w:rsidRPr="00291E30">
        <w:t>damaged</w:t>
      </w:r>
      <w:proofErr w:type="gramEnd"/>
      <w:r w:rsidRPr="00291E30">
        <w:t xml:space="preserve"> and lost.</w:t>
      </w:r>
    </w:p>
    <w:p w14:paraId="29FDF2A6" w14:textId="77777777" w:rsidR="00C82E06" w:rsidRPr="00291E30" w:rsidRDefault="00C82E06" w:rsidP="00291E30">
      <w:pPr>
        <w:pStyle w:val="ListParagraph"/>
        <w:numPr>
          <w:ilvl w:val="0"/>
          <w:numId w:val="6"/>
        </w:numPr>
      </w:pPr>
      <w:r w:rsidRPr="00291E30">
        <w:t>Carrying an incorrect, damaged, or unclear product serial number.</w:t>
      </w:r>
    </w:p>
    <w:p w14:paraId="0E5291B7" w14:textId="77777777" w:rsidR="00C82E06" w:rsidRPr="00291E30" w:rsidRDefault="00C82E06" w:rsidP="00291E30">
      <w:pPr>
        <w:pStyle w:val="ListParagraph"/>
        <w:numPr>
          <w:ilvl w:val="0"/>
          <w:numId w:val="6"/>
        </w:numPr>
      </w:pPr>
      <w:r w:rsidRPr="00291E30">
        <w:t>Purchased from an unauthorized reseller or retailer.</w:t>
      </w:r>
    </w:p>
    <w:p w14:paraId="10ACD0EE" w14:textId="77777777" w:rsidR="00152B20" w:rsidRDefault="00152B20" w:rsidP="00C82E06">
      <w:pPr>
        <w:shd w:val="clear" w:color="auto" w:fill="FFFFFF"/>
        <w:outlineLvl w:val="3"/>
        <w:rPr>
          <w:rFonts w:eastAsia="PMingLiU" w:cstheme="minorHAnsi"/>
          <w:b/>
          <w:bCs/>
          <w:color w:val="003366"/>
          <w:sz w:val="42"/>
          <w:szCs w:val="42"/>
        </w:rPr>
      </w:pPr>
    </w:p>
    <w:p w14:paraId="50D7FDD2" w14:textId="77777777" w:rsidR="00C82E06" w:rsidRPr="00DE40F5" w:rsidRDefault="00C82E06" w:rsidP="00DE40F5">
      <w:pPr>
        <w:pStyle w:val="Heading1"/>
      </w:pPr>
      <w:r w:rsidRPr="00DE40F5">
        <w:lastRenderedPageBreak/>
        <w:t>Warranty Claim Requirements</w:t>
      </w:r>
    </w:p>
    <w:p w14:paraId="09314672" w14:textId="77777777" w:rsidR="00C82E06" w:rsidRPr="00C82E06" w:rsidRDefault="00C82E06" w:rsidP="00DE40F5">
      <w:pPr>
        <w:pStyle w:val="ListParagraph"/>
        <w:numPr>
          <w:ilvl w:val="0"/>
          <w:numId w:val="7"/>
        </w:numPr>
      </w:pPr>
      <w:r w:rsidRPr="00C82E06">
        <w:t>Proof of the place and the date of purchase: online product registration.</w:t>
      </w:r>
    </w:p>
    <w:p w14:paraId="42683F22" w14:textId="77777777" w:rsidR="00C82E06" w:rsidRPr="00C82E06" w:rsidRDefault="00C82E06" w:rsidP="00DE40F5">
      <w:pPr>
        <w:pStyle w:val="ListParagraph"/>
        <w:numPr>
          <w:ilvl w:val="0"/>
          <w:numId w:val="7"/>
        </w:numPr>
      </w:pPr>
      <w:r w:rsidRPr="00C82E06">
        <w:t>Products must bear Silicon Power labels.</w:t>
      </w:r>
    </w:p>
    <w:p w14:paraId="344ACC46" w14:textId="77777777" w:rsidR="00C82E06" w:rsidRPr="00C82E06" w:rsidRDefault="00C82E06" w:rsidP="00DE40F5">
      <w:pPr>
        <w:pStyle w:val="ListParagraph"/>
        <w:numPr>
          <w:ilvl w:val="0"/>
          <w:numId w:val="7"/>
        </w:numPr>
      </w:pPr>
      <w:r w:rsidRPr="00C82E06">
        <w:t>Undamaged outward appearance.</w:t>
      </w:r>
    </w:p>
    <w:p w14:paraId="348B79DD" w14:textId="77777777" w:rsidR="00C82E06" w:rsidRPr="00C82E06" w:rsidRDefault="00C82E06" w:rsidP="00DE40F5">
      <w:pPr>
        <w:pStyle w:val="ListParagraph"/>
        <w:numPr>
          <w:ilvl w:val="0"/>
          <w:numId w:val="7"/>
        </w:numPr>
      </w:pPr>
      <w:r w:rsidRPr="00C82E06">
        <w:t>External Storage and SSD: Please send all accessories along with main product.</w:t>
      </w:r>
    </w:p>
    <w:p w14:paraId="2C2957A7" w14:textId="77777777" w:rsidR="00C82E06" w:rsidRPr="00C82E06" w:rsidRDefault="00C82E06" w:rsidP="00DE40F5">
      <w:pPr>
        <w:pStyle w:val="Heading1"/>
      </w:pPr>
      <w:r w:rsidRPr="00C82E06">
        <w:t>RMA Service</w:t>
      </w:r>
    </w:p>
    <w:p w14:paraId="491467BA" w14:textId="77777777" w:rsidR="00C82E06" w:rsidRPr="00C82E06" w:rsidRDefault="00C82E06" w:rsidP="00DE40F5">
      <w:pPr>
        <w:pStyle w:val="paragraph"/>
        <w:rPr>
          <w:rFonts w:eastAsia="PMingLiU" w:cstheme="minorHAnsi"/>
          <w:color w:val="212529"/>
        </w:rPr>
      </w:pPr>
      <w:r w:rsidRPr="00DE40F5">
        <w:t>Basic</w:t>
      </w:r>
      <w:r w:rsidRPr="00C82E06">
        <w:rPr>
          <w:rFonts w:eastAsia="PMingLiU" w:cstheme="minorHAnsi"/>
          <w:color w:val="212529"/>
        </w:rPr>
        <w:t xml:space="preserve"> Troubleshooting: Please check </w:t>
      </w:r>
      <w:hyperlink r:id="rId10" w:history="1">
        <w:r w:rsidRPr="00DE40F5">
          <w:rPr>
            <w:rStyle w:val="Hyperlink"/>
          </w:rPr>
          <w:t>Software &amp; Manual</w:t>
        </w:r>
      </w:hyperlink>
      <w:r w:rsidRPr="00C82E06">
        <w:rPr>
          <w:rFonts w:eastAsia="PMingLiU" w:cstheme="minorHAnsi"/>
          <w:color w:val="212529"/>
        </w:rPr>
        <w:t> , </w:t>
      </w:r>
      <w:hyperlink r:id="rId11" w:history="1">
        <w:r w:rsidRPr="00DE40F5">
          <w:rPr>
            <w:rStyle w:val="Hyperlink"/>
          </w:rPr>
          <w:t>Compatibility Search</w:t>
        </w:r>
      </w:hyperlink>
      <w:r w:rsidRPr="00C82E06">
        <w:rPr>
          <w:rFonts w:eastAsia="PMingLiU" w:cstheme="minorHAnsi"/>
          <w:color w:val="212529"/>
        </w:rPr>
        <w:t> or </w:t>
      </w:r>
      <w:hyperlink r:id="rId12" w:history="1">
        <w:r w:rsidRPr="00DE40F5">
          <w:rPr>
            <w:rStyle w:val="Hyperlink"/>
          </w:rPr>
          <w:t>FAQ</w:t>
        </w:r>
      </w:hyperlink>
      <w:r w:rsidRPr="00C82E06">
        <w:rPr>
          <w:rFonts w:eastAsia="PMingLiU" w:cstheme="minorHAnsi"/>
          <w:color w:val="212529"/>
        </w:rPr>
        <w:t>.</w:t>
      </w:r>
    </w:p>
    <w:p w14:paraId="2EDC1E0B" w14:textId="4D5833C1" w:rsidR="00C82E06" w:rsidRPr="00C82E06" w:rsidRDefault="00C82E06" w:rsidP="00DE40F5">
      <w:pPr>
        <w:pStyle w:val="ListParagraph"/>
        <w:numPr>
          <w:ilvl w:val="0"/>
          <w:numId w:val="8"/>
        </w:numPr>
      </w:pPr>
      <w:r w:rsidRPr="00C82E06">
        <w:t xml:space="preserve">Return to an authorized Silicon Power dealer or distributor </w:t>
      </w:r>
      <w:r w:rsidR="0048432C">
        <w:t xml:space="preserve">(Dicker Data NZ, </w:t>
      </w:r>
      <w:hyperlink r:id="rId13" w:history="1">
        <w:r w:rsidR="0048432C" w:rsidRPr="00DE40F5">
          <w:rPr>
            <w:rStyle w:val="Hyperlink"/>
          </w:rPr>
          <w:t>returns.authorities@dickerdata.co.nz</w:t>
        </w:r>
      </w:hyperlink>
      <w:r w:rsidR="0048432C">
        <w:t xml:space="preserve">) </w:t>
      </w:r>
      <w:r w:rsidRPr="00C82E06">
        <w:t>from which you purchased the Silicon Power product. Please confirm the terms of your dealer's or distributors return policies prior to returning the product.</w:t>
      </w:r>
    </w:p>
    <w:p w14:paraId="4D794CCF" w14:textId="77777777" w:rsidR="00C82E06" w:rsidRPr="00C82E06" w:rsidRDefault="00C82E06" w:rsidP="00DE40F5">
      <w:pPr>
        <w:pStyle w:val="ListParagraph"/>
        <w:numPr>
          <w:ilvl w:val="0"/>
          <w:numId w:val="8"/>
        </w:numPr>
      </w:pPr>
      <w:r w:rsidRPr="00C82E06">
        <w:t xml:space="preserve">Returning directly to the Silicon Power service </w:t>
      </w:r>
      <w:proofErr w:type="spellStart"/>
      <w:r w:rsidRPr="00C82E06">
        <w:t>centre</w:t>
      </w:r>
      <w:proofErr w:type="spellEnd"/>
      <w:r w:rsidRPr="00C82E06">
        <w:t xml:space="preserve">: Obtain a Return Merchandise Authorization (RMA) number through RMA request </w:t>
      </w:r>
      <w:proofErr w:type="gramStart"/>
      <w:r w:rsidRPr="00C82E06">
        <w:t>page, and</w:t>
      </w:r>
      <w:proofErr w:type="gramEnd"/>
      <w:r w:rsidRPr="00C82E06">
        <w:t xml:space="preserve"> follow the product return procedures.</w:t>
      </w:r>
    </w:p>
    <w:p w14:paraId="41847F9C" w14:textId="77777777" w:rsidR="00C82E06" w:rsidRPr="00C82E06" w:rsidRDefault="00C82E06" w:rsidP="00DE40F5">
      <w:pPr>
        <w:pStyle w:val="ListParagraph"/>
        <w:numPr>
          <w:ilvl w:val="0"/>
          <w:numId w:val="8"/>
        </w:numPr>
      </w:pPr>
      <w:r w:rsidRPr="00C82E06">
        <w:t>Please confirm RMA returned products. If there is any problem about item and quantity, please contact Silicon Power Customer Service by e-mailing us at </w:t>
      </w:r>
      <w:hyperlink r:id="rId14" w:history="1">
        <w:r w:rsidRPr="00DE40F5">
          <w:rPr>
            <w:rStyle w:val="Hyperlink"/>
          </w:rPr>
          <w:t>service@silicon-power.com</w:t>
        </w:r>
      </w:hyperlink>
      <w:r w:rsidRPr="00C82E06">
        <w:t> within 3 days only or the issue will not be handled.</w:t>
      </w:r>
    </w:p>
    <w:p w14:paraId="5AECC50E" w14:textId="77777777" w:rsidR="00C82E06" w:rsidRPr="006C5830" w:rsidRDefault="00C82E06" w:rsidP="00DE40F5">
      <w:pPr>
        <w:pStyle w:val="Heading1"/>
      </w:pPr>
      <w:r w:rsidRPr="006C5830">
        <w:t>Other Statement</w:t>
      </w:r>
    </w:p>
    <w:p w14:paraId="48508F2A" w14:textId="77777777" w:rsidR="00C82E06" w:rsidRPr="00C82E06" w:rsidRDefault="00C82E06" w:rsidP="00DE40F5">
      <w:pPr>
        <w:pStyle w:val="ListParagraph"/>
        <w:numPr>
          <w:ilvl w:val="0"/>
          <w:numId w:val="9"/>
        </w:numPr>
      </w:pPr>
      <w:r w:rsidRPr="00C82E06">
        <w:t>Silicon Power will inspect the product and in its sole discretion repair or replace it with a comparable one based on the warranty policy.</w:t>
      </w:r>
    </w:p>
    <w:p w14:paraId="5591195F" w14:textId="77777777" w:rsidR="00C82E06" w:rsidRPr="00C82E06" w:rsidRDefault="00C82E06" w:rsidP="00DE40F5">
      <w:pPr>
        <w:pStyle w:val="ListParagraph"/>
        <w:numPr>
          <w:ilvl w:val="0"/>
          <w:numId w:val="9"/>
        </w:numPr>
      </w:pPr>
      <w:r w:rsidRPr="00C82E06">
        <w:t>Due to the ongoing technology, in case of the discontinuity of any product, Silicon Power will be unable to repair the product, and therefore replace the product with a comparable one.</w:t>
      </w:r>
    </w:p>
    <w:p w14:paraId="3A87268E" w14:textId="77777777" w:rsidR="00C82E06" w:rsidRDefault="00C82E06" w:rsidP="00DE40F5">
      <w:pPr>
        <w:pStyle w:val="ListParagraph"/>
        <w:numPr>
          <w:ilvl w:val="0"/>
          <w:numId w:val="9"/>
        </w:numPr>
      </w:pPr>
      <w:r w:rsidRPr="00C82E06">
        <w:t>For more details, please check our warranty policy as below.</w:t>
      </w:r>
    </w:p>
    <w:tbl>
      <w:tblPr>
        <w:tblW w:w="8379" w:type="dxa"/>
        <w:tblInd w:w="13" w:type="dxa"/>
        <w:tblLayout w:type="fixed"/>
        <w:tblCellMar>
          <w:left w:w="28" w:type="dxa"/>
          <w:right w:w="28" w:type="dxa"/>
        </w:tblCellMar>
        <w:tblLook w:val="04A0" w:firstRow="1" w:lastRow="0" w:firstColumn="1" w:lastColumn="0" w:noHBand="0" w:noVBand="1"/>
      </w:tblPr>
      <w:tblGrid>
        <w:gridCol w:w="1542"/>
        <w:gridCol w:w="1417"/>
        <w:gridCol w:w="1418"/>
        <w:gridCol w:w="4002"/>
      </w:tblGrid>
      <w:tr w:rsidR="00152B20" w:rsidRPr="00355CC1" w14:paraId="2509C278" w14:textId="77777777" w:rsidTr="008849A8">
        <w:trPr>
          <w:trHeight w:val="841"/>
        </w:trPr>
        <w:tc>
          <w:tcPr>
            <w:tcW w:w="1542" w:type="dxa"/>
            <w:tcBorders>
              <w:top w:val="single" w:sz="4" w:space="0" w:color="auto"/>
              <w:left w:val="single" w:sz="4" w:space="0" w:color="auto"/>
              <w:bottom w:val="single" w:sz="4" w:space="0" w:color="auto"/>
              <w:right w:val="single" w:sz="4" w:space="0" w:color="auto"/>
            </w:tcBorders>
            <w:shd w:val="clear" w:color="auto" w:fill="000000" w:themeFill="text1"/>
            <w:noWrap/>
            <w:vAlign w:val="center"/>
            <w:hideMark/>
          </w:tcPr>
          <w:p w14:paraId="5C434BA8" w14:textId="77777777" w:rsidR="00152B20" w:rsidRPr="005300EF" w:rsidRDefault="00152B20" w:rsidP="002A2063">
            <w:pPr>
              <w:pStyle w:val="paragraph"/>
              <w:spacing w:line="240" w:lineRule="auto"/>
              <w:rPr>
                <w:b/>
                <w:bCs/>
              </w:rPr>
            </w:pPr>
            <w:r w:rsidRPr="005300EF">
              <w:rPr>
                <w:b/>
                <w:bCs/>
              </w:rPr>
              <w:lastRenderedPageBreak/>
              <w:t>Product line</w:t>
            </w:r>
          </w:p>
        </w:tc>
        <w:tc>
          <w:tcPr>
            <w:tcW w:w="1417" w:type="dxa"/>
            <w:tcBorders>
              <w:top w:val="single" w:sz="4" w:space="0" w:color="auto"/>
              <w:left w:val="nil"/>
              <w:bottom w:val="single" w:sz="4" w:space="0" w:color="auto"/>
              <w:right w:val="single" w:sz="4" w:space="0" w:color="auto"/>
            </w:tcBorders>
            <w:shd w:val="clear" w:color="auto" w:fill="000000" w:themeFill="text1"/>
            <w:vAlign w:val="center"/>
            <w:hideMark/>
          </w:tcPr>
          <w:p w14:paraId="1CBA63FE" w14:textId="77777777" w:rsidR="00152B20" w:rsidRPr="005300EF" w:rsidRDefault="00152B20" w:rsidP="002A2063">
            <w:pPr>
              <w:pStyle w:val="paragraph"/>
              <w:spacing w:line="240" w:lineRule="auto"/>
              <w:rPr>
                <w:b/>
                <w:bCs/>
              </w:rPr>
            </w:pPr>
            <w:r w:rsidRPr="005300EF">
              <w:rPr>
                <w:b/>
                <w:bCs/>
              </w:rPr>
              <w:t>Type/Model</w:t>
            </w:r>
          </w:p>
        </w:tc>
        <w:tc>
          <w:tcPr>
            <w:tcW w:w="1418" w:type="dxa"/>
            <w:tcBorders>
              <w:top w:val="single" w:sz="4" w:space="0" w:color="auto"/>
              <w:left w:val="nil"/>
              <w:bottom w:val="single" w:sz="4" w:space="0" w:color="auto"/>
              <w:right w:val="single" w:sz="4" w:space="0" w:color="auto"/>
            </w:tcBorders>
            <w:shd w:val="clear" w:color="auto" w:fill="000000" w:themeFill="text1"/>
            <w:noWrap/>
            <w:vAlign w:val="center"/>
            <w:hideMark/>
          </w:tcPr>
          <w:p w14:paraId="359AD9B2" w14:textId="4C2475B1" w:rsidR="00152B20" w:rsidRPr="005300EF" w:rsidRDefault="00152B20" w:rsidP="002A2063">
            <w:pPr>
              <w:pStyle w:val="paragraph"/>
              <w:spacing w:line="240" w:lineRule="auto"/>
              <w:rPr>
                <w:b/>
                <w:bCs/>
              </w:rPr>
            </w:pPr>
            <w:r w:rsidRPr="005300EF">
              <w:rPr>
                <w:b/>
                <w:bCs/>
              </w:rPr>
              <w:t>Duratio</w:t>
            </w:r>
            <w:r w:rsidR="00355CC1" w:rsidRPr="005300EF">
              <w:rPr>
                <w:b/>
                <w:bCs/>
              </w:rPr>
              <w:t xml:space="preserve">n </w:t>
            </w:r>
            <w:r w:rsidRPr="005300EF">
              <w:rPr>
                <w:b/>
                <w:bCs/>
              </w:rPr>
              <w:t>of Warranty</w:t>
            </w:r>
          </w:p>
        </w:tc>
        <w:tc>
          <w:tcPr>
            <w:tcW w:w="4002" w:type="dxa"/>
            <w:tcBorders>
              <w:top w:val="single" w:sz="4" w:space="0" w:color="auto"/>
              <w:left w:val="nil"/>
              <w:bottom w:val="single" w:sz="4" w:space="0" w:color="auto"/>
              <w:right w:val="single" w:sz="4" w:space="0" w:color="auto"/>
            </w:tcBorders>
            <w:shd w:val="clear" w:color="auto" w:fill="000000" w:themeFill="text1"/>
            <w:noWrap/>
            <w:vAlign w:val="center"/>
            <w:hideMark/>
          </w:tcPr>
          <w:p w14:paraId="109E5403" w14:textId="77777777" w:rsidR="00152B20" w:rsidRPr="005300EF" w:rsidRDefault="00152B20" w:rsidP="002A2063">
            <w:pPr>
              <w:pStyle w:val="paragraph"/>
              <w:spacing w:line="240" w:lineRule="auto"/>
              <w:rPr>
                <w:b/>
                <w:bCs/>
              </w:rPr>
            </w:pPr>
            <w:r w:rsidRPr="005300EF">
              <w:rPr>
                <w:b/>
                <w:bCs/>
              </w:rPr>
              <w:t>Remarks</w:t>
            </w:r>
          </w:p>
        </w:tc>
      </w:tr>
      <w:tr w:rsidR="00152B20" w:rsidRPr="00C82E06" w14:paraId="3AFF30B2" w14:textId="77777777" w:rsidTr="008849A8">
        <w:trPr>
          <w:trHeight w:val="1040"/>
        </w:trPr>
        <w:tc>
          <w:tcPr>
            <w:tcW w:w="1542"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2764519" w14:textId="77777777" w:rsidR="00152B20" w:rsidRPr="008849A8" w:rsidRDefault="00152B20" w:rsidP="002A2063">
            <w:pPr>
              <w:pStyle w:val="paragraph"/>
              <w:spacing w:line="240" w:lineRule="auto"/>
              <w:rPr>
                <w:b/>
                <w:bCs/>
              </w:rPr>
            </w:pPr>
            <w:r w:rsidRPr="008849A8">
              <w:rPr>
                <w:b/>
                <w:bCs/>
              </w:rPr>
              <w:t>SSD</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0E4578D9" w14:textId="77777777" w:rsidR="00152B20" w:rsidRPr="002A2063" w:rsidRDefault="00152B20" w:rsidP="002A2063">
            <w:pPr>
              <w:pStyle w:val="paragraph"/>
              <w:spacing w:line="240" w:lineRule="auto"/>
            </w:pPr>
            <w:r w:rsidRPr="002A2063">
              <w:t>PCIe SSD</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A39C91F" w14:textId="77777777" w:rsidR="00152B20" w:rsidRPr="002A2063" w:rsidRDefault="00152B20" w:rsidP="002A2063">
            <w:pPr>
              <w:pStyle w:val="paragraph"/>
              <w:spacing w:line="240" w:lineRule="auto"/>
            </w:pPr>
            <w:r w:rsidRPr="002A2063">
              <w:t>5 years</w:t>
            </w:r>
          </w:p>
        </w:tc>
        <w:tc>
          <w:tcPr>
            <w:tcW w:w="4002" w:type="dxa"/>
            <w:vMerge w:val="restart"/>
            <w:tcBorders>
              <w:top w:val="nil"/>
              <w:left w:val="single" w:sz="4" w:space="0" w:color="auto"/>
              <w:bottom w:val="single" w:sz="4" w:space="0" w:color="000000"/>
              <w:right w:val="single" w:sz="4" w:space="0" w:color="auto"/>
            </w:tcBorders>
            <w:shd w:val="clear" w:color="auto" w:fill="auto"/>
            <w:vAlign w:val="center"/>
            <w:hideMark/>
          </w:tcPr>
          <w:p w14:paraId="35E55BCA" w14:textId="77777777" w:rsidR="00152B20" w:rsidRPr="00C82E06" w:rsidRDefault="00152B20" w:rsidP="002A2063">
            <w:pPr>
              <w:pStyle w:val="paragraph"/>
              <w:spacing w:line="240" w:lineRule="auto"/>
              <w:rPr>
                <w:rFonts w:ascii="Calibri" w:eastAsia="PMingLiU" w:hAnsi="Calibri" w:cs="Calibri"/>
                <w:color w:val="000000"/>
              </w:rPr>
            </w:pPr>
            <w:r w:rsidRPr="002A2063">
              <w:t xml:space="preserve">SP SSDs warranty is covered by limited warranty since the date of purchase or TBW which is exceeded TBW threshold via SP </w:t>
            </w:r>
            <w:proofErr w:type="gramStart"/>
            <w:r w:rsidRPr="002A2063">
              <w:t>tool box</w:t>
            </w:r>
            <w:proofErr w:type="gramEnd"/>
            <w:r w:rsidRPr="002A2063">
              <w:t>, whichever occurs first. For more details, please check our warranty policy as below.</w:t>
            </w:r>
            <w:r w:rsidRPr="00C82E06">
              <w:rPr>
                <w:rFonts w:ascii="Calibri" w:eastAsia="PMingLiU" w:hAnsi="Calibri" w:cs="Calibri"/>
                <w:color w:val="000000"/>
              </w:rPr>
              <w:br/>
            </w:r>
            <w:hyperlink r:id="rId15" w:history="1">
              <w:r w:rsidRPr="002A2063">
                <w:rPr>
                  <w:rStyle w:val="Hyperlink"/>
                </w:rPr>
                <w:t>https://www.silicon-power.com/support/lang/utf8/Warranty_Policy.pdf</w:t>
              </w:r>
            </w:hyperlink>
          </w:p>
        </w:tc>
      </w:tr>
      <w:tr w:rsidR="00152B20" w:rsidRPr="00C82E06" w14:paraId="77050F77" w14:textId="77777777" w:rsidTr="008849A8">
        <w:trPr>
          <w:trHeight w:val="360"/>
        </w:trPr>
        <w:tc>
          <w:tcPr>
            <w:tcW w:w="1542"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AFBEE1C" w14:textId="77777777" w:rsidR="00152B20" w:rsidRPr="008849A8" w:rsidRDefault="00152B20" w:rsidP="002A2063">
            <w:pPr>
              <w:pStyle w:val="paragraph"/>
              <w:spacing w:line="240" w:lineRule="auto"/>
              <w:rPr>
                <w:b/>
                <w:bCs/>
              </w:rPr>
            </w:pPr>
          </w:p>
        </w:tc>
        <w:tc>
          <w:tcPr>
            <w:tcW w:w="1417" w:type="dxa"/>
            <w:vMerge/>
            <w:tcBorders>
              <w:top w:val="nil"/>
              <w:left w:val="single" w:sz="4" w:space="0" w:color="auto"/>
              <w:bottom w:val="single" w:sz="4" w:space="0" w:color="auto"/>
              <w:right w:val="single" w:sz="4" w:space="0" w:color="auto"/>
            </w:tcBorders>
            <w:vAlign w:val="center"/>
            <w:hideMark/>
          </w:tcPr>
          <w:p w14:paraId="5DEA9305" w14:textId="77777777" w:rsidR="00152B20" w:rsidRPr="002A2063" w:rsidRDefault="00152B20" w:rsidP="002A2063">
            <w:pPr>
              <w:pStyle w:val="paragraph"/>
              <w:spacing w:line="240" w:lineRule="auto"/>
            </w:pPr>
          </w:p>
        </w:tc>
        <w:tc>
          <w:tcPr>
            <w:tcW w:w="1418" w:type="dxa"/>
            <w:vMerge/>
            <w:tcBorders>
              <w:top w:val="nil"/>
              <w:left w:val="single" w:sz="4" w:space="0" w:color="auto"/>
              <w:bottom w:val="single" w:sz="4" w:space="0" w:color="auto"/>
              <w:right w:val="single" w:sz="4" w:space="0" w:color="auto"/>
            </w:tcBorders>
            <w:vAlign w:val="center"/>
            <w:hideMark/>
          </w:tcPr>
          <w:p w14:paraId="0B17018F" w14:textId="77777777" w:rsidR="00152B20" w:rsidRPr="002A2063" w:rsidRDefault="00152B20" w:rsidP="002A2063">
            <w:pPr>
              <w:pStyle w:val="paragraph"/>
              <w:spacing w:line="240" w:lineRule="auto"/>
            </w:pPr>
          </w:p>
        </w:tc>
        <w:tc>
          <w:tcPr>
            <w:tcW w:w="4002" w:type="dxa"/>
            <w:vMerge/>
            <w:tcBorders>
              <w:top w:val="nil"/>
              <w:left w:val="single" w:sz="4" w:space="0" w:color="auto"/>
              <w:bottom w:val="single" w:sz="4" w:space="0" w:color="000000"/>
              <w:right w:val="single" w:sz="4" w:space="0" w:color="auto"/>
            </w:tcBorders>
            <w:vAlign w:val="center"/>
            <w:hideMark/>
          </w:tcPr>
          <w:p w14:paraId="0CA37D28" w14:textId="77777777" w:rsidR="00152B20" w:rsidRPr="00C82E06" w:rsidRDefault="00152B20" w:rsidP="002A2063">
            <w:pPr>
              <w:pStyle w:val="paragraph"/>
              <w:spacing w:line="240" w:lineRule="auto"/>
              <w:rPr>
                <w:rFonts w:ascii="Calibri" w:eastAsia="PMingLiU" w:hAnsi="Calibri" w:cs="Calibri"/>
                <w:color w:val="000000"/>
              </w:rPr>
            </w:pPr>
          </w:p>
        </w:tc>
      </w:tr>
      <w:tr w:rsidR="00152B20" w:rsidRPr="00C82E06" w14:paraId="1CC32E44" w14:textId="77777777" w:rsidTr="008849A8">
        <w:trPr>
          <w:trHeight w:val="360"/>
        </w:trPr>
        <w:tc>
          <w:tcPr>
            <w:tcW w:w="1542"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82F4151" w14:textId="77777777" w:rsidR="00152B20" w:rsidRPr="008849A8" w:rsidRDefault="00152B20" w:rsidP="002A2063">
            <w:pPr>
              <w:pStyle w:val="paragraph"/>
              <w:spacing w:line="240" w:lineRule="auto"/>
              <w:rPr>
                <w:b/>
                <w:bCs/>
              </w:rPr>
            </w:pPr>
          </w:p>
        </w:tc>
        <w:tc>
          <w:tcPr>
            <w:tcW w:w="1417" w:type="dxa"/>
            <w:vMerge/>
            <w:tcBorders>
              <w:top w:val="nil"/>
              <w:left w:val="single" w:sz="4" w:space="0" w:color="auto"/>
              <w:bottom w:val="single" w:sz="4" w:space="0" w:color="auto"/>
              <w:right w:val="single" w:sz="4" w:space="0" w:color="auto"/>
            </w:tcBorders>
            <w:vAlign w:val="center"/>
            <w:hideMark/>
          </w:tcPr>
          <w:p w14:paraId="67E98848" w14:textId="77777777" w:rsidR="00152B20" w:rsidRPr="002A2063" w:rsidRDefault="00152B20" w:rsidP="002A2063">
            <w:pPr>
              <w:pStyle w:val="paragraph"/>
              <w:spacing w:line="240" w:lineRule="auto"/>
            </w:pPr>
          </w:p>
        </w:tc>
        <w:tc>
          <w:tcPr>
            <w:tcW w:w="1418" w:type="dxa"/>
            <w:vMerge/>
            <w:tcBorders>
              <w:top w:val="nil"/>
              <w:left w:val="single" w:sz="4" w:space="0" w:color="auto"/>
              <w:bottom w:val="single" w:sz="4" w:space="0" w:color="auto"/>
              <w:right w:val="single" w:sz="4" w:space="0" w:color="auto"/>
            </w:tcBorders>
            <w:vAlign w:val="center"/>
            <w:hideMark/>
          </w:tcPr>
          <w:p w14:paraId="051E136B" w14:textId="77777777" w:rsidR="00152B20" w:rsidRPr="002A2063" w:rsidRDefault="00152B20" w:rsidP="002A2063">
            <w:pPr>
              <w:pStyle w:val="paragraph"/>
              <w:spacing w:line="240" w:lineRule="auto"/>
            </w:pPr>
          </w:p>
        </w:tc>
        <w:tc>
          <w:tcPr>
            <w:tcW w:w="4002" w:type="dxa"/>
            <w:vMerge/>
            <w:tcBorders>
              <w:top w:val="nil"/>
              <w:left w:val="single" w:sz="4" w:space="0" w:color="auto"/>
              <w:bottom w:val="single" w:sz="4" w:space="0" w:color="000000"/>
              <w:right w:val="single" w:sz="4" w:space="0" w:color="auto"/>
            </w:tcBorders>
            <w:vAlign w:val="center"/>
            <w:hideMark/>
          </w:tcPr>
          <w:p w14:paraId="6DDB9A81" w14:textId="77777777" w:rsidR="00152B20" w:rsidRPr="00C82E06" w:rsidRDefault="00152B20" w:rsidP="002A2063">
            <w:pPr>
              <w:pStyle w:val="paragraph"/>
              <w:spacing w:line="240" w:lineRule="auto"/>
              <w:rPr>
                <w:rFonts w:ascii="Calibri" w:eastAsia="PMingLiU" w:hAnsi="Calibri" w:cs="Calibri"/>
                <w:color w:val="000000"/>
              </w:rPr>
            </w:pPr>
          </w:p>
        </w:tc>
      </w:tr>
      <w:tr w:rsidR="00152B20" w:rsidRPr="00C82E06" w14:paraId="68AAB9B5" w14:textId="77777777" w:rsidTr="008849A8">
        <w:trPr>
          <w:trHeight w:val="360"/>
        </w:trPr>
        <w:tc>
          <w:tcPr>
            <w:tcW w:w="1542"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6D2B3A9" w14:textId="77777777" w:rsidR="00152B20" w:rsidRPr="008849A8" w:rsidRDefault="00152B20" w:rsidP="002A2063">
            <w:pPr>
              <w:pStyle w:val="paragraph"/>
              <w:spacing w:line="240" w:lineRule="auto"/>
              <w:rPr>
                <w:b/>
                <w:bCs/>
              </w:rPr>
            </w:pP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C42FC69" w14:textId="77777777" w:rsidR="00152B20" w:rsidRPr="002A2063" w:rsidRDefault="00152B20" w:rsidP="002A2063">
            <w:pPr>
              <w:pStyle w:val="paragraph"/>
              <w:spacing w:line="240" w:lineRule="auto"/>
            </w:pPr>
            <w:r w:rsidRPr="002A2063">
              <w:t>SATA SSD</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DA33D2" w14:textId="77777777" w:rsidR="00152B20" w:rsidRPr="002A2063" w:rsidRDefault="00152B20" w:rsidP="002A2063">
            <w:pPr>
              <w:pStyle w:val="paragraph"/>
              <w:spacing w:line="240" w:lineRule="auto"/>
            </w:pPr>
            <w:r w:rsidRPr="002A2063">
              <w:t>3 years</w:t>
            </w:r>
          </w:p>
        </w:tc>
        <w:tc>
          <w:tcPr>
            <w:tcW w:w="4002" w:type="dxa"/>
            <w:vMerge w:val="restart"/>
            <w:tcBorders>
              <w:top w:val="nil"/>
              <w:left w:val="single" w:sz="4" w:space="0" w:color="auto"/>
              <w:bottom w:val="single" w:sz="4" w:space="0" w:color="000000"/>
              <w:right w:val="single" w:sz="4" w:space="0" w:color="auto"/>
            </w:tcBorders>
            <w:shd w:val="clear" w:color="auto" w:fill="auto"/>
            <w:vAlign w:val="center"/>
            <w:hideMark/>
          </w:tcPr>
          <w:p w14:paraId="1E02B371" w14:textId="77777777" w:rsidR="00152B20" w:rsidRPr="00C82E06" w:rsidRDefault="00152B20" w:rsidP="002A2063">
            <w:pPr>
              <w:pStyle w:val="paragraph"/>
              <w:spacing w:line="240" w:lineRule="auto"/>
              <w:rPr>
                <w:rFonts w:ascii="Calibri" w:eastAsia="PMingLiU" w:hAnsi="Calibri" w:cs="Calibri"/>
                <w:color w:val="000000"/>
              </w:rPr>
            </w:pPr>
            <w:r w:rsidRPr="002A2063">
              <w:t xml:space="preserve">SP SSDs warranty is covered by limited warranty since the date of purchase or TBW which is exceeded TBW threshold via SP </w:t>
            </w:r>
            <w:proofErr w:type="gramStart"/>
            <w:r w:rsidRPr="002A2063">
              <w:t>tool box</w:t>
            </w:r>
            <w:proofErr w:type="gramEnd"/>
            <w:r w:rsidRPr="002A2063">
              <w:t>, whichever occurs first. For more details, please check our warranty policy as below.</w:t>
            </w:r>
            <w:r w:rsidRPr="00C82E06">
              <w:rPr>
                <w:rFonts w:ascii="Calibri" w:eastAsia="PMingLiU" w:hAnsi="Calibri" w:cs="Calibri"/>
                <w:color w:val="000000"/>
              </w:rPr>
              <w:br/>
            </w:r>
            <w:hyperlink r:id="rId16" w:history="1">
              <w:r w:rsidRPr="002A2063">
                <w:rPr>
                  <w:rStyle w:val="Hyperlink"/>
                </w:rPr>
                <w:t>https://www.silicon-power.com/support/lang/utf8/Warranty_Policy.pdf</w:t>
              </w:r>
            </w:hyperlink>
          </w:p>
        </w:tc>
      </w:tr>
      <w:tr w:rsidR="00152B20" w:rsidRPr="00C82E06" w14:paraId="1D2AE8AB" w14:textId="77777777" w:rsidTr="008849A8">
        <w:trPr>
          <w:trHeight w:val="360"/>
        </w:trPr>
        <w:tc>
          <w:tcPr>
            <w:tcW w:w="1542"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8A355C7" w14:textId="77777777" w:rsidR="00152B20" w:rsidRPr="008849A8" w:rsidRDefault="00152B20" w:rsidP="002A2063">
            <w:pPr>
              <w:pStyle w:val="paragraph"/>
              <w:spacing w:line="240" w:lineRule="auto"/>
              <w:rPr>
                <w:b/>
                <w:bCs/>
              </w:rPr>
            </w:pPr>
          </w:p>
        </w:tc>
        <w:tc>
          <w:tcPr>
            <w:tcW w:w="1417" w:type="dxa"/>
            <w:vMerge/>
            <w:tcBorders>
              <w:top w:val="nil"/>
              <w:left w:val="single" w:sz="4" w:space="0" w:color="auto"/>
              <w:bottom w:val="single" w:sz="4" w:space="0" w:color="auto"/>
              <w:right w:val="single" w:sz="4" w:space="0" w:color="auto"/>
            </w:tcBorders>
            <w:vAlign w:val="center"/>
            <w:hideMark/>
          </w:tcPr>
          <w:p w14:paraId="2D1EAB41" w14:textId="77777777" w:rsidR="00152B20" w:rsidRPr="00C82E06" w:rsidRDefault="00152B20" w:rsidP="002A2063">
            <w:pPr>
              <w:pStyle w:val="paragraph"/>
              <w:spacing w:line="240" w:lineRule="auto"/>
              <w:rPr>
                <w:rFonts w:ascii="Calibri" w:eastAsia="PMingLiU" w:hAnsi="Calibri" w:cs="Calibri"/>
                <w:color w:val="000000"/>
              </w:rPr>
            </w:pPr>
          </w:p>
        </w:tc>
        <w:tc>
          <w:tcPr>
            <w:tcW w:w="1418" w:type="dxa"/>
            <w:vMerge/>
            <w:tcBorders>
              <w:top w:val="nil"/>
              <w:left w:val="single" w:sz="4" w:space="0" w:color="auto"/>
              <w:bottom w:val="single" w:sz="4" w:space="0" w:color="auto"/>
              <w:right w:val="single" w:sz="4" w:space="0" w:color="auto"/>
            </w:tcBorders>
            <w:vAlign w:val="center"/>
            <w:hideMark/>
          </w:tcPr>
          <w:p w14:paraId="0C9CAF1D" w14:textId="77777777" w:rsidR="00152B20" w:rsidRPr="00C82E06" w:rsidRDefault="00152B20" w:rsidP="002A2063">
            <w:pPr>
              <w:pStyle w:val="paragraph"/>
              <w:spacing w:line="240" w:lineRule="auto"/>
              <w:rPr>
                <w:rFonts w:ascii="Calibri" w:eastAsia="PMingLiU" w:hAnsi="Calibri" w:cs="Calibri"/>
                <w:color w:val="000000"/>
              </w:rPr>
            </w:pPr>
          </w:p>
        </w:tc>
        <w:tc>
          <w:tcPr>
            <w:tcW w:w="4002" w:type="dxa"/>
            <w:vMerge/>
            <w:tcBorders>
              <w:top w:val="nil"/>
              <w:left w:val="single" w:sz="4" w:space="0" w:color="auto"/>
              <w:bottom w:val="single" w:sz="4" w:space="0" w:color="000000"/>
              <w:right w:val="single" w:sz="4" w:space="0" w:color="auto"/>
            </w:tcBorders>
            <w:vAlign w:val="center"/>
            <w:hideMark/>
          </w:tcPr>
          <w:p w14:paraId="71F69E7C" w14:textId="77777777" w:rsidR="00152B20" w:rsidRPr="00C82E06" w:rsidRDefault="00152B20" w:rsidP="002A2063">
            <w:pPr>
              <w:pStyle w:val="paragraph"/>
              <w:spacing w:line="240" w:lineRule="auto"/>
              <w:rPr>
                <w:rFonts w:ascii="Calibri" w:eastAsia="PMingLiU" w:hAnsi="Calibri" w:cs="Calibri"/>
                <w:color w:val="000000"/>
              </w:rPr>
            </w:pPr>
          </w:p>
        </w:tc>
      </w:tr>
      <w:tr w:rsidR="00152B20" w:rsidRPr="00C82E06" w14:paraId="57B995D3" w14:textId="77777777" w:rsidTr="008849A8">
        <w:trPr>
          <w:trHeight w:val="360"/>
        </w:trPr>
        <w:tc>
          <w:tcPr>
            <w:tcW w:w="1542"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22CB813" w14:textId="77777777" w:rsidR="00152B20" w:rsidRPr="008849A8" w:rsidRDefault="00152B20" w:rsidP="002A2063">
            <w:pPr>
              <w:pStyle w:val="paragraph"/>
              <w:spacing w:line="240" w:lineRule="auto"/>
              <w:rPr>
                <w:b/>
                <w:bCs/>
              </w:rPr>
            </w:pPr>
          </w:p>
        </w:tc>
        <w:tc>
          <w:tcPr>
            <w:tcW w:w="1417" w:type="dxa"/>
            <w:vMerge/>
            <w:tcBorders>
              <w:top w:val="nil"/>
              <w:left w:val="single" w:sz="4" w:space="0" w:color="auto"/>
              <w:bottom w:val="single" w:sz="4" w:space="0" w:color="auto"/>
              <w:right w:val="single" w:sz="4" w:space="0" w:color="auto"/>
            </w:tcBorders>
            <w:vAlign w:val="center"/>
            <w:hideMark/>
          </w:tcPr>
          <w:p w14:paraId="589E5D1C" w14:textId="77777777" w:rsidR="00152B20" w:rsidRPr="00C82E06" w:rsidRDefault="00152B20" w:rsidP="002A2063">
            <w:pPr>
              <w:pStyle w:val="paragraph"/>
              <w:spacing w:line="240" w:lineRule="auto"/>
              <w:rPr>
                <w:rFonts w:ascii="Calibri" w:eastAsia="PMingLiU" w:hAnsi="Calibri" w:cs="Calibri"/>
                <w:color w:val="000000"/>
              </w:rPr>
            </w:pPr>
          </w:p>
        </w:tc>
        <w:tc>
          <w:tcPr>
            <w:tcW w:w="1418" w:type="dxa"/>
            <w:vMerge/>
            <w:tcBorders>
              <w:top w:val="nil"/>
              <w:left w:val="single" w:sz="4" w:space="0" w:color="auto"/>
              <w:bottom w:val="single" w:sz="4" w:space="0" w:color="auto"/>
              <w:right w:val="single" w:sz="4" w:space="0" w:color="auto"/>
            </w:tcBorders>
            <w:vAlign w:val="center"/>
            <w:hideMark/>
          </w:tcPr>
          <w:p w14:paraId="4E66DB74" w14:textId="77777777" w:rsidR="00152B20" w:rsidRPr="00C82E06" w:rsidRDefault="00152B20" w:rsidP="002A2063">
            <w:pPr>
              <w:pStyle w:val="paragraph"/>
              <w:spacing w:line="240" w:lineRule="auto"/>
              <w:rPr>
                <w:rFonts w:ascii="Calibri" w:eastAsia="PMingLiU" w:hAnsi="Calibri" w:cs="Calibri"/>
                <w:color w:val="000000"/>
              </w:rPr>
            </w:pPr>
          </w:p>
        </w:tc>
        <w:tc>
          <w:tcPr>
            <w:tcW w:w="4002" w:type="dxa"/>
            <w:vMerge/>
            <w:tcBorders>
              <w:top w:val="nil"/>
              <w:left w:val="single" w:sz="4" w:space="0" w:color="auto"/>
              <w:bottom w:val="single" w:sz="4" w:space="0" w:color="auto"/>
              <w:right w:val="single" w:sz="4" w:space="0" w:color="auto"/>
            </w:tcBorders>
            <w:vAlign w:val="center"/>
            <w:hideMark/>
          </w:tcPr>
          <w:p w14:paraId="5AFDDAA3" w14:textId="77777777" w:rsidR="00152B20" w:rsidRPr="00C82E06" w:rsidRDefault="00152B20" w:rsidP="002A2063">
            <w:pPr>
              <w:pStyle w:val="paragraph"/>
              <w:spacing w:line="240" w:lineRule="auto"/>
              <w:rPr>
                <w:rFonts w:ascii="Calibri" w:eastAsia="PMingLiU" w:hAnsi="Calibri" w:cs="Calibri"/>
                <w:color w:val="000000"/>
              </w:rPr>
            </w:pPr>
          </w:p>
        </w:tc>
      </w:tr>
      <w:tr w:rsidR="00152B20" w:rsidRPr="00C82E06" w14:paraId="37DFAB0A" w14:textId="77777777" w:rsidTr="008849A8">
        <w:trPr>
          <w:trHeight w:val="520"/>
        </w:trPr>
        <w:tc>
          <w:tcPr>
            <w:tcW w:w="15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B5AE1A" w14:textId="77777777" w:rsidR="00152B20" w:rsidRPr="008849A8" w:rsidRDefault="00152B20" w:rsidP="002A2063">
            <w:pPr>
              <w:pStyle w:val="paragraph"/>
              <w:spacing w:line="240" w:lineRule="auto"/>
              <w:rPr>
                <w:b/>
                <w:bCs/>
              </w:rPr>
            </w:pPr>
            <w:r w:rsidRPr="008849A8">
              <w:rPr>
                <w:b/>
                <w:bCs/>
              </w:rPr>
              <w:t>Memory Module</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5E4C4E2" w14:textId="77777777" w:rsidR="00152B20" w:rsidRPr="002A2063" w:rsidRDefault="00152B20" w:rsidP="002A2063">
            <w:pPr>
              <w:pStyle w:val="paragraph"/>
              <w:spacing w:line="240" w:lineRule="auto"/>
            </w:pPr>
            <w:r w:rsidRPr="002A2063">
              <w:t>SP Memory Module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461D6BC" w14:textId="77777777" w:rsidR="00152B20" w:rsidRPr="002A2063" w:rsidRDefault="00152B20" w:rsidP="002A2063">
            <w:pPr>
              <w:pStyle w:val="paragraph"/>
              <w:spacing w:line="240" w:lineRule="auto"/>
            </w:pPr>
            <w:r w:rsidRPr="002A2063">
              <w:t>Limited Lifetime warranty</w:t>
            </w:r>
          </w:p>
        </w:tc>
        <w:tc>
          <w:tcPr>
            <w:tcW w:w="4002" w:type="dxa"/>
            <w:tcBorders>
              <w:top w:val="single" w:sz="4" w:space="0" w:color="auto"/>
              <w:left w:val="nil"/>
              <w:bottom w:val="single" w:sz="4" w:space="0" w:color="auto"/>
              <w:right w:val="single" w:sz="4" w:space="0" w:color="auto"/>
            </w:tcBorders>
            <w:shd w:val="clear" w:color="auto" w:fill="auto"/>
            <w:vAlign w:val="center"/>
            <w:hideMark/>
          </w:tcPr>
          <w:p w14:paraId="4877D2D2" w14:textId="77777777" w:rsidR="00152B20" w:rsidRPr="002A2063" w:rsidRDefault="00152B20" w:rsidP="002A2063">
            <w:pPr>
              <w:pStyle w:val="paragraph"/>
              <w:spacing w:line="240" w:lineRule="auto"/>
            </w:pPr>
            <w:r w:rsidRPr="002A2063">
              <w:rPr>
                <w:rFonts w:ascii="Microsoft YaHei" w:eastAsia="Microsoft YaHei" w:hAnsi="Microsoft YaHei" w:cs="Microsoft YaHei" w:hint="eastAsia"/>
              </w:rPr>
              <w:t xml:space="preserve">　</w:t>
            </w:r>
          </w:p>
        </w:tc>
      </w:tr>
      <w:tr w:rsidR="00152B20" w:rsidRPr="00C82E06" w14:paraId="14F3BE17" w14:textId="77777777" w:rsidTr="008849A8">
        <w:trPr>
          <w:trHeight w:val="1820"/>
        </w:trPr>
        <w:tc>
          <w:tcPr>
            <w:tcW w:w="1542" w:type="dxa"/>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AB175ED" w14:textId="77777777" w:rsidR="00152B20" w:rsidRPr="008849A8" w:rsidRDefault="00152B20" w:rsidP="002A2063">
            <w:pPr>
              <w:pStyle w:val="paragraph"/>
              <w:spacing w:line="240" w:lineRule="auto"/>
              <w:rPr>
                <w:b/>
                <w:bCs/>
              </w:rPr>
            </w:pPr>
            <w:r w:rsidRPr="008849A8">
              <w:rPr>
                <w:b/>
                <w:bCs/>
              </w:rPr>
              <w:t>Memory Cards</w:t>
            </w:r>
          </w:p>
        </w:tc>
        <w:tc>
          <w:tcPr>
            <w:tcW w:w="1417" w:type="dxa"/>
            <w:tcBorders>
              <w:top w:val="nil"/>
              <w:left w:val="nil"/>
              <w:bottom w:val="single" w:sz="4" w:space="0" w:color="auto"/>
              <w:right w:val="single" w:sz="4" w:space="0" w:color="auto"/>
            </w:tcBorders>
            <w:shd w:val="clear" w:color="auto" w:fill="auto"/>
            <w:vAlign w:val="center"/>
            <w:hideMark/>
          </w:tcPr>
          <w:p w14:paraId="2505D007" w14:textId="77777777" w:rsidR="00152B20" w:rsidRPr="002A2063" w:rsidRDefault="00152B20" w:rsidP="002A2063">
            <w:pPr>
              <w:pStyle w:val="paragraph"/>
              <w:spacing w:line="240" w:lineRule="auto"/>
            </w:pPr>
            <w:r w:rsidRPr="002A2063">
              <w:t>SD/microSD Memory Cards (including our Superior Pro, Superior, Elite, and Class 10/6/4 series), full range of CF Cards</w:t>
            </w:r>
          </w:p>
        </w:tc>
        <w:tc>
          <w:tcPr>
            <w:tcW w:w="1418" w:type="dxa"/>
            <w:tcBorders>
              <w:top w:val="nil"/>
              <w:left w:val="nil"/>
              <w:bottom w:val="single" w:sz="4" w:space="0" w:color="auto"/>
              <w:right w:val="single" w:sz="4" w:space="0" w:color="auto"/>
            </w:tcBorders>
            <w:shd w:val="clear" w:color="auto" w:fill="auto"/>
            <w:noWrap/>
            <w:vAlign w:val="center"/>
            <w:hideMark/>
          </w:tcPr>
          <w:p w14:paraId="6B0A6898" w14:textId="77777777" w:rsidR="00152B20" w:rsidRPr="002A2063" w:rsidRDefault="00152B20" w:rsidP="002A2063">
            <w:pPr>
              <w:pStyle w:val="paragraph"/>
              <w:spacing w:line="240" w:lineRule="auto"/>
            </w:pPr>
            <w:r w:rsidRPr="002A2063">
              <w:t>5 years</w:t>
            </w:r>
          </w:p>
        </w:tc>
        <w:tc>
          <w:tcPr>
            <w:tcW w:w="4002" w:type="dxa"/>
            <w:tcBorders>
              <w:top w:val="nil"/>
              <w:left w:val="nil"/>
              <w:bottom w:val="single" w:sz="4" w:space="0" w:color="auto"/>
              <w:right w:val="single" w:sz="4" w:space="0" w:color="auto"/>
            </w:tcBorders>
            <w:shd w:val="clear" w:color="auto" w:fill="auto"/>
            <w:vAlign w:val="center"/>
            <w:hideMark/>
          </w:tcPr>
          <w:p w14:paraId="1FC0E2CA" w14:textId="77777777" w:rsidR="00835C0A" w:rsidRDefault="00152B20" w:rsidP="00835C0A">
            <w:pPr>
              <w:pStyle w:val="paragraph"/>
              <w:spacing w:line="240" w:lineRule="auto"/>
            </w:pPr>
            <w:r w:rsidRPr="002A2063">
              <w:t xml:space="preserve">The warranty conditions do not apply to the following usage scenarios or devices: </w:t>
            </w:r>
          </w:p>
          <w:p w14:paraId="5184FD93" w14:textId="5437D0D5" w:rsidR="00835C0A" w:rsidRDefault="00152B20" w:rsidP="005300EF">
            <w:pPr>
              <w:pStyle w:val="paragraph"/>
              <w:numPr>
                <w:ilvl w:val="0"/>
                <w:numId w:val="12"/>
              </w:numPr>
              <w:spacing w:line="240" w:lineRule="auto"/>
              <w:ind w:left="507"/>
            </w:pPr>
            <w:r w:rsidRPr="002A2063">
              <w:t>Video conference call and security monitoring devices</w:t>
            </w:r>
          </w:p>
          <w:p w14:paraId="4E454BE8" w14:textId="71EAB53D" w:rsidR="005300EF" w:rsidRDefault="00152B20" w:rsidP="005300EF">
            <w:pPr>
              <w:pStyle w:val="paragraph"/>
              <w:numPr>
                <w:ilvl w:val="0"/>
                <w:numId w:val="12"/>
              </w:numPr>
              <w:spacing w:line="240" w:lineRule="auto"/>
              <w:ind w:left="507"/>
            </w:pPr>
            <w:r w:rsidRPr="002A2063">
              <w:t xml:space="preserve">Car cam recording </w:t>
            </w:r>
            <w:proofErr w:type="gramStart"/>
            <w:r w:rsidRPr="002A2063">
              <w:t>devices</w:t>
            </w:r>
            <w:proofErr w:type="gramEnd"/>
          </w:p>
          <w:p w14:paraId="1CA49670" w14:textId="39399A8C" w:rsidR="005300EF" w:rsidRDefault="00152B20" w:rsidP="005300EF">
            <w:pPr>
              <w:pStyle w:val="paragraph"/>
              <w:numPr>
                <w:ilvl w:val="0"/>
                <w:numId w:val="12"/>
              </w:numPr>
              <w:spacing w:line="240" w:lineRule="auto"/>
              <w:ind w:left="507"/>
            </w:pPr>
            <w:r w:rsidRPr="002A2063">
              <w:t xml:space="preserve">Loop video playing </w:t>
            </w:r>
            <w:proofErr w:type="gramStart"/>
            <w:r w:rsidRPr="002A2063">
              <w:t>devices</w:t>
            </w:r>
            <w:proofErr w:type="gramEnd"/>
          </w:p>
          <w:p w14:paraId="64DF2E64" w14:textId="08F4FA79" w:rsidR="005300EF" w:rsidRDefault="00152B20" w:rsidP="005300EF">
            <w:pPr>
              <w:pStyle w:val="paragraph"/>
              <w:numPr>
                <w:ilvl w:val="0"/>
                <w:numId w:val="12"/>
              </w:numPr>
              <w:spacing w:line="240" w:lineRule="auto"/>
              <w:ind w:left="507"/>
            </w:pPr>
            <w:r w:rsidRPr="002A2063">
              <w:t>Continuous data recording devices</w:t>
            </w:r>
          </w:p>
          <w:p w14:paraId="3A2F87FE" w14:textId="4C80EC45" w:rsidR="005300EF" w:rsidRDefault="00152B20" w:rsidP="005300EF">
            <w:pPr>
              <w:pStyle w:val="paragraph"/>
              <w:numPr>
                <w:ilvl w:val="0"/>
                <w:numId w:val="12"/>
              </w:numPr>
              <w:spacing w:line="240" w:lineRule="auto"/>
              <w:ind w:left="507"/>
            </w:pPr>
            <w:r w:rsidRPr="002A2063">
              <w:t>Networking surveillance cameras</w:t>
            </w:r>
          </w:p>
          <w:p w14:paraId="095B7713" w14:textId="3555DDEC" w:rsidR="00152B20" w:rsidRPr="002A2063" w:rsidRDefault="00152B20" w:rsidP="005300EF">
            <w:pPr>
              <w:pStyle w:val="paragraph"/>
              <w:numPr>
                <w:ilvl w:val="0"/>
                <w:numId w:val="12"/>
              </w:numPr>
              <w:spacing w:line="240" w:lineRule="auto"/>
              <w:ind w:left="507"/>
            </w:pPr>
            <w:r w:rsidRPr="002A2063">
              <w:t>Medical and military specific devices</w:t>
            </w:r>
          </w:p>
        </w:tc>
      </w:tr>
      <w:tr w:rsidR="00152B20" w:rsidRPr="00C82E06" w14:paraId="5CDC5D7B" w14:textId="77777777" w:rsidTr="008849A8">
        <w:trPr>
          <w:trHeight w:val="870"/>
        </w:trPr>
        <w:tc>
          <w:tcPr>
            <w:tcW w:w="1542"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5D035F2" w14:textId="77777777" w:rsidR="00152B20" w:rsidRPr="008849A8" w:rsidRDefault="00152B20" w:rsidP="002A2063">
            <w:pPr>
              <w:pStyle w:val="paragraph"/>
              <w:spacing w:line="240" w:lineRule="auto"/>
              <w:rPr>
                <w:b/>
                <w:bCs/>
              </w:rPr>
            </w:pPr>
          </w:p>
        </w:tc>
        <w:tc>
          <w:tcPr>
            <w:tcW w:w="1417" w:type="dxa"/>
            <w:tcBorders>
              <w:top w:val="nil"/>
              <w:left w:val="nil"/>
              <w:bottom w:val="single" w:sz="4" w:space="0" w:color="auto"/>
              <w:right w:val="single" w:sz="4" w:space="0" w:color="auto"/>
            </w:tcBorders>
            <w:shd w:val="clear" w:color="auto" w:fill="auto"/>
            <w:vAlign w:val="center"/>
            <w:hideMark/>
          </w:tcPr>
          <w:p w14:paraId="7FB26A97" w14:textId="77777777" w:rsidR="00152B20" w:rsidRPr="002A2063" w:rsidRDefault="00152B20" w:rsidP="002A2063">
            <w:pPr>
              <w:pStyle w:val="paragraph"/>
              <w:spacing w:line="240" w:lineRule="auto"/>
            </w:pPr>
            <w:r w:rsidRPr="002A2063">
              <w:t>microSD High Endurance/microSD Golden Superior Cards</w:t>
            </w:r>
          </w:p>
        </w:tc>
        <w:tc>
          <w:tcPr>
            <w:tcW w:w="1418" w:type="dxa"/>
            <w:tcBorders>
              <w:top w:val="nil"/>
              <w:left w:val="nil"/>
              <w:bottom w:val="single" w:sz="4" w:space="0" w:color="auto"/>
              <w:right w:val="single" w:sz="4" w:space="0" w:color="auto"/>
            </w:tcBorders>
            <w:shd w:val="clear" w:color="auto" w:fill="auto"/>
            <w:noWrap/>
            <w:vAlign w:val="center"/>
            <w:hideMark/>
          </w:tcPr>
          <w:p w14:paraId="7AB00F59" w14:textId="77777777" w:rsidR="00152B20" w:rsidRPr="002A2063" w:rsidRDefault="00152B20" w:rsidP="002A2063">
            <w:pPr>
              <w:pStyle w:val="paragraph"/>
              <w:spacing w:line="240" w:lineRule="auto"/>
            </w:pPr>
            <w:r w:rsidRPr="002A2063">
              <w:t>2 years</w:t>
            </w:r>
          </w:p>
        </w:tc>
        <w:tc>
          <w:tcPr>
            <w:tcW w:w="4002" w:type="dxa"/>
            <w:tcBorders>
              <w:top w:val="nil"/>
              <w:left w:val="nil"/>
              <w:bottom w:val="single" w:sz="4" w:space="0" w:color="auto"/>
              <w:right w:val="single" w:sz="4" w:space="0" w:color="auto"/>
            </w:tcBorders>
            <w:shd w:val="clear" w:color="auto" w:fill="auto"/>
            <w:noWrap/>
            <w:vAlign w:val="center"/>
            <w:hideMark/>
          </w:tcPr>
          <w:p w14:paraId="4F49CA22" w14:textId="77777777" w:rsidR="00152B20" w:rsidRPr="00C82E06" w:rsidRDefault="00152B20" w:rsidP="002A2063">
            <w:pPr>
              <w:pStyle w:val="paragraph"/>
              <w:spacing w:line="240" w:lineRule="auto"/>
              <w:rPr>
                <w:rFonts w:ascii="Calibri" w:eastAsia="PMingLiU" w:hAnsi="Calibri" w:cs="Calibri"/>
                <w:color w:val="000000"/>
              </w:rPr>
            </w:pPr>
            <w:r w:rsidRPr="00C82E06">
              <w:rPr>
                <w:rFonts w:ascii="Calibri" w:eastAsia="PMingLiU" w:hAnsi="Calibri" w:cs="Calibri"/>
                <w:color w:val="000000"/>
              </w:rPr>
              <w:t xml:space="preserve">　</w:t>
            </w:r>
          </w:p>
        </w:tc>
      </w:tr>
      <w:tr w:rsidR="00152B20" w:rsidRPr="00C82E06" w14:paraId="5F004AC4" w14:textId="77777777" w:rsidTr="008849A8">
        <w:trPr>
          <w:trHeight w:val="580"/>
        </w:trPr>
        <w:tc>
          <w:tcPr>
            <w:tcW w:w="1542"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CFB1D71" w14:textId="77777777" w:rsidR="00152B20" w:rsidRPr="008849A8" w:rsidRDefault="00152B20" w:rsidP="002A2063">
            <w:pPr>
              <w:pStyle w:val="paragraph"/>
              <w:spacing w:line="240" w:lineRule="auto"/>
              <w:rPr>
                <w:b/>
                <w:bCs/>
              </w:rPr>
            </w:pPr>
          </w:p>
        </w:tc>
        <w:tc>
          <w:tcPr>
            <w:tcW w:w="1417" w:type="dxa"/>
            <w:tcBorders>
              <w:top w:val="nil"/>
              <w:left w:val="nil"/>
              <w:bottom w:val="single" w:sz="4" w:space="0" w:color="auto"/>
              <w:right w:val="single" w:sz="4" w:space="0" w:color="auto"/>
            </w:tcBorders>
            <w:shd w:val="clear" w:color="auto" w:fill="auto"/>
            <w:vAlign w:val="center"/>
            <w:hideMark/>
          </w:tcPr>
          <w:p w14:paraId="18A51ECB" w14:textId="77777777" w:rsidR="00152B20" w:rsidRPr="002A2063" w:rsidRDefault="00152B20" w:rsidP="002A2063">
            <w:pPr>
              <w:pStyle w:val="paragraph"/>
              <w:spacing w:line="240" w:lineRule="auto"/>
            </w:pPr>
            <w:r w:rsidRPr="002A2063">
              <w:t xml:space="preserve">microSD Golden/ microSD </w:t>
            </w:r>
            <w:r w:rsidRPr="002A2063">
              <w:lastRenderedPageBreak/>
              <w:t>Golden Elite Series Cards</w:t>
            </w:r>
          </w:p>
        </w:tc>
        <w:tc>
          <w:tcPr>
            <w:tcW w:w="1418" w:type="dxa"/>
            <w:tcBorders>
              <w:top w:val="nil"/>
              <w:left w:val="nil"/>
              <w:bottom w:val="single" w:sz="4" w:space="0" w:color="auto"/>
              <w:right w:val="single" w:sz="4" w:space="0" w:color="auto"/>
            </w:tcBorders>
            <w:shd w:val="clear" w:color="auto" w:fill="auto"/>
            <w:noWrap/>
            <w:vAlign w:val="center"/>
            <w:hideMark/>
          </w:tcPr>
          <w:p w14:paraId="119B01B4" w14:textId="77777777" w:rsidR="00152B20" w:rsidRPr="002A2063" w:rsidRDefault="00152B20" w:rsidP="002A2063">
            <w:pPr>
              <w:pStyle w:val="paragraph"/>
              <w:spacing w:line="240" w:lineRule="auto"/>
            </w:pPr>
            <w:r w:rsidRPr="002A2063">
              <w:lastRenderedPageBreak/>
              <w:t>1 years</w:t>
            </w:r>
          </w:p>
        </w:tc>
        <w:tc>
          <w:tcPr>
            <w:tcW w:w="4002" w:type="dxa"/>
            <w:tcBorders>
              <w:top w:val="nil"/>
              <w:left w:val="nil"/>
              <w:bottom w:val="single" w:sz="4" w:space="0" w:color="auto"/>
              <w:right w:val="single" w:sz="4" w:space="0" w:color="auto"/>
            </w:tcBorders>
            <w:shd w:val="clear" w:color="auto" w:fill="auto"/>
            <w:noWrap/>
            <w:vAlign w:val="center"/>
            <w:hideMark/>
          </w:tcPr>
          <w:p w14:paraId="029D1376" w14:textId="77777777" w:rsidR="00152B20" w:rsidRPr="00C82E06" w:rsidRDefault="00152B20" w:rsidP="002A2063">
            <w:pPr>
              <w:pStyle w:val="paragraph"/>
              <w:spacing w:line="240" w:lineRule="auto"/>
              <w:rPr>
                <w:rFonts w:ascii="Calibri" w:eastAsia="PMingLiU" w:hAnsi="Calibri" w:cs="Calibri"/>
                <w:color w:val="000000"/>
              </w:rPr>
            </w:pPr>
            <w:r w:rsidRPr="00C82E06">
              <w:rPr>
                <w:rFonts w:ascii="Calibri" w:eastAsia="PMingLiU" w:hAnsi="Calibri" w:cs="Calibri"/>
                <w:color w:val="000000"/>
              </w:rPr>
              <w:t xml:space="preserve">　</w:t>
            </w:r>
          </w:p>
        </w:tc>
      </w:tr>
      <w:tr w:rsidR="00152B20" w:rsidRPr="00C82E06" w14:paraId="0C67A0F3" w14:textId="77777777" w:rsidTr="008849A8">
        <w:trPr>
          <w:trHeight w:val="340"/>
        </w:trPr>
        <w:tc>
          <w:tcPr>
            <w:tcW w:w="1542"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9412430" w14:textId="77777777" w:rsidR="00152B20" w:rsidRPr="008849A8" w:rsidRDefault="00152B20" w:rsidP="002A2063">
            <w:pPr>
              <w:pStyle w:val="paragraph"/>
              <w:spacing w:line="240" w:lineRule="auto"/>
              <w:rPr>
                <w:b/>
                <w:bCs/>
              </w:rPr>
            </w:pPr>
            <w:r w:rsidRPr="008849A8">
              <w:rPr>
                <w:b/>
                <w:bCs/>
              </w:rPr>
              <w:t>USB Flash Drives</w:t>
            </w:r>
          </w:p>
        </w:tc>
        <w:tc>
          <w:tcPr>
            <w:tcW w:w="1417" w:type="dxa"/>
            <w:tcBorders>
              <w:top w:val="nil"/>
              <w:left w:val="nil"/>
              <w:bottom w:val="single" w:sz="4" w:space="0" w:color="auto"/>
              <w:right w:val="single" w:sz="4" w:space="0" w:color="auto"/>
            </w:tcBorders>
            <w:shd w:val="clear" w:color="auto" w:fill="auto"/>
            <w:vAlign w:val="center"/>
            <w:hideMark/>
          </w:tcPr>
          <w:p w14:paraId="43160DE5" w14:textId="77777777" w:rsidR="00152B20" w:rsidRPr="002A2063" w:rsidRDefault="00152B20" w:rsidP="002A2063">
            <w:pPr>
              <w:pStyle w:val="paragraph"/>
              <w:spacing w:line="240" w:lineRule="auto"/>
            </w:pPr>
            <w:r w:rsidRPr="002A2063">
              <w:t>USB Flash Drives</w:t>
            </w:r>
          </w:p>
        </w:tc>
        <w:tc>
          <w:tcPr>
            <w:tcW w:w="1418" w:type="dxa"/>
            <w:tcBorders>
              <w:top w:val="nil"/>
              <w:left w:val="nil"/>
              <w:bottom w:val="single" w:sz="4" w:space="0" w:color="auto"/>
              <w:right w:val="single" w:sz="4" w:space="0" w:color="auto"/>
            </w:tcBorders>
            <w:shd w:val="clear" w:color="auto" w:fill="auto"/>
            <w:noWrap/>
            <w:vAlign w:val="center"/>
            <w:hideMark/>
          </w:tcPr>
          <w:p w14:paraId="401FD678" w14:textId="77777777" w:rsidR="00152B20" w:rsidRPr="002A2063" w:rsidRDefault="00152B20" w:rsidP="002A2063">
            <w:pPr>
              <w:pStyle w:val="paragraph"/>
              <w:spacing w:line="240" w:lineRule="auto"/>
            </w:pPr>
            <w:r w:rsidRPr="002A2063">
              <w:t>5 years</w:t>
            </w:r>
          </w:p>
        </w:tc>
        <w:tc>
          <w:tcPr>
            <w:tcW w:w="4002" w:type="dxa"/>
            <w:tcBorders>
              <w:top w:val="nil"/>
              <w:left w:val="nil"/>
              <w:bottom w:val="single" w:sz="4" w:space="0" w:color="auto"/>
              <w:right w:val="single" w:sz="4" w:space="0" w:color="auto"/>
            </w:tcBorders>
            <w:shd w:val="clear" w:color="auto" w:fill="auto"/>
            <w:noWrap/>
            <w:vAlign w:val="center"/>
            <w:hideMark/>
          </w:tcPr>
          <w:p w14:paraId="20738FFD" w14:textId="77777777" w:rsidR="00152B20" w:rsidRPr="00C82E06" w:rsidRDefault="00152B20" w:rsidP="002A2063">
            <w:pPr>
              <w:pStyle w:val="paragraph"/>
              <w:spacing w:line="240" w:lineRule="auto"/>
              <w:rPr>
                <w:rFonts w:ascii="Calibri" w:eastAsia="PMingLiU" w:hAnsi="Calibri" w:cs="Calibri"/>
                <w:color w:val="000000"/>
              </w:rPr>
            </w:pPr>
            <w:r w:rsidRPr="00C82E06">
              <w:rPr>
                <w:rFonts w:ascii="Calibri" w:eastAsia="PMingLiU" w:hAnsi="Calibri" w:cs="Calibri"/>
                <w:color w:val="000000"/>
              </w:rPr>
              <w:t xml:space="preserve">　</w:t>
            </w:r>
          </w:p>
        </w:tc>
      </w:tr>
      <w:tr w:rsidR="00152B20" w:rsidRPr="00C82E06" w14:paraId="0A63EAEA" w14:textId="77777777" w:rsidTr="00884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0"/>
        </w:trPr>
        <w:tc>
          <w:tcPr>
            <w:tcW w:w="1542" w:type="dxa"/>
            <w:vMerge w:val="restart"/>
            <w:shd w:val="clear" w:color="auto" w:fill="D9D9D9" w:themeFill="background1" w:themeFillShade="D9"/>
            <w:noWrap/>
            <w:vAlign w:val="center"/>
            <w:hideMark/>
          </w:tcPr>
          <w:p w14:paraId="7E963B0D" w14:textId="77777777" w:rsidR="00152B20" w:rsidRPr="008849A8" w:rsidRDefault="00152B20" w:rsidP="002A2063">
            <w:pPr>
              <w:pStyle w:val="paragraph"/>
              <w:spacing w:line="240" w:lineRule="auto"/>
              <w:rPr>
                <w:b/>
                <w:bCs/>
              </w:rPr>
            </w:pPr>
            <w:r w:rsidRPr="008849A8">
              <w:rPr>
                <w:b/>
                <w:bCs/>
              </w:rPr>
              <w:t>External Storage</w:t>
            </w:r>
          </w:p>
        </w:tc>
        <w:tc>
          <w:tcPr>
            <w:tcW w:w="1417" w:type="dxa"/>
            <w:shd w:val="clear" w:color="auto" w:fill="auto"/>
            <w:vAlign w:val="center"/>
            <w:hideMark/>
          </w:tcPr>
          <w:p w14:paraId="64646B70" w14:textId="77777777" w:rsidR="00152B20" w:rsidRPr="002A2063" w:rsidRDefault="00152B20" w:rsidP="002A2063">
            <w:pPr>
              <w:pStyle w:val="paragraph"/>
              <w:spacing w:line="240" w:lineRule="auto"/>
            </w:pPr>
            <w:r w:rsidRPr="002A2063">
              <w:t xml:space="preserve">Full range of mobile, external hard drives, external </w:t>
            </w:r>
            <w:proofErr w:type="gramStart"/>
            <w:r w:rsidRPr="002A2063">
              <w:t>solid state</w:t>
            </w:r>
            <w:proofErr w:type="gramEnd"/>
            <w:r w:rsidRPr="002A2063">
              <w:t xml:space="preserve"> drives, and Thunderbolt T11</w:t>
            </w:r>
          </w:p>
        </w:tc>
        <w:tc>
          <w:tcPr>
            <w:tcW w:w="1418" w:type="dxa"/>
            <w:shd w:val="clear" w:color="auto" w:fill="auto"/>
            <w:noWrap/>
            <w:vAlign w:val="center"/>
            <w:hideMark/>
          </w:tcPr>
          <w:p w14:paraId="7B7AA27E" w14:textId="77777777" w:rsidR="00152B20" w:rsidRPr="002A2063" w:rsidRDefault="00152B20" w:rsidP="002A2063">
            <w:pPr>
              <w:pStyle w:val="paragraph"/>
              <w:spacing w:line="240" w:lineRule="auto"/>
            </w:pPr>
            <w:r w:rsidRPr="002A2063">
              <w:t>3 years</w:t>
            </w:r>
          </w:p>
        </w:tc>
        <w:tc>
          <w:tcPr>
            <w:tcW w:w="4002" w:type="dxa"/>
            <w:shd w:val="clear" w:color="auto" w:fill="auto"/>
            <w:noWrap/>
            <w:vAlign w:val="center"/>
            <w:hideMark/>
          </w:tcPr>
          <w:p w14:paraId="2AB8B0D0" w14:textId="77777777" w:rsidR="00152B20" w:rsidRPr="00C82E06" w:rsidRDefault="00152B20" w:rsidP="002A2063">
            <w:pPr>
              <w:pStyle w:val="paragraph"/>
              <w:spacing w:line="240" w:lineRule="auto"/>
              <w:rPr>
                <w:rFonts w:ascii="Calibri" w:eastAsia="PMingLiU" w:hAnsi="Calibri" w:cs="Calibri"/>
                <w:color w:val="000000"/>
              </w:rPr>
            </w:pPr>
            <w:r w:rsidRPr="00C82E06">
              <w:rPr>
                <w:rFonts w:ascii="Calibri" w:eastAsia="PMingLiU" w:hAnsi="Calibri" w:cs="Calibri"/>
                <w:color w:val="000000"/>
              </w:rPr>
              <w:t xml:space="preserve">　</w:t>
            </w:r>
          </w:p>
        </w:tc>
      </w:tr>
      <w:tr w:rsidR="00152B20" w:rsidRPr="00C82E06" w14:paraId="3F333289" w14:textId="77777777" w:rsidTr="00884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542" w:type="dxa"/>
            <w:vMerge/>
            <w:shd w:val="clear" w:color="auto" w:fill="D9D9D9" w:themeFill="background1" w:themeFillShade="D9"/>
            <w:vAlign w:val="center"/>
            <w:hideMark/>
          </w:tcPr>
          <w:p w14:paraId="3637D432" w14:textId="77777777" w:rsidR="00152B20" w:rsidRPr="008849A8" w:rsidRDefault="00152B20" w:rsidP="002A2063">
            <w:pPr>
              <w:pStyle w:val="paragraph"/>
              <w:spacing w:line="240" w:lineRule="auto"/>
              <w:rPr>
                <w:b/>
                <w:bCs/>
              </w:rPr>
            </w:pPr>
          </w:p>
        </w:tc>
        <w:tc>
          <w:tcPr>
            <w:tcW w:w="1417" w:type="dxa"/>
            <w:shd w:val="clear" w:color="auto" w:fill="auto"/>
            <w:vAlign w:val="center"/>
            <w:hideMark/>
          </w:tcPr>
          <w:p w14:paraId="16D45D0E" w14:textId="77777777" w:rsidR="00152B20" w:rsidRPr="002A2063" w:rsidRDefault="00152B20" w:rsidP="002A2063">
            <w:pPr>
              <w:pStyle w:val="paragraph"/>
              <w:spacing w:line="240" w:lineRule="auto"/>
            </w:pPr>
            <w:r w:rsidRPr="002A2063">
              <w:t>Power adapters</w:t>
            </w:r>
          </w:p>
        </w:tc>
        <w:tc>
          <w:tcPr>
            <w:tcW w:w="1418" w:type="dxa"/>
            <w:shd w:val="clear" w:color="auto" w:fill="auto"/>
            <w:noWrap/>
            <w:vAlign w:val="center"/>
            <w:hideMark/>
          </w:tcPr>
          <w:p w14:paraId="6C02A239" w14:textId="77777777" w:rsidR="00152B20" w:rsidRPr="002A2063" w:rsidRDefault="00152B20" w:rsidP="002A2063">
            <w:pPr>
              <w:pStyle w:val="paragraph"/>
              <w:spacing w:line="240" w:lineRule="auto"/>
            </w:pPr>
            <w:r w:rsidRPr="002A2063">
              <w:t>12 months</w:t>
            </w:r>
          </w:p>
        </w:tc>
        <w:tc>
          <w:tcPr>
            <w:tcW w:w="4002" w:type="dxa"/>
            <w:shd w:val="clear" w:color="auto" w:fill="auto"/>
            <w:noWrap/>
            <w:vAlign w:val="center"/>
            <w:hideMark/>
          </w:tcPr>
          <w:p w14:paraId="3C165121" w14:textId="77777777" w:rsidR="00152B20" w:rsidRPr="00C82E06" w:rsidRDefault="00152B20" w:rsidP="002A2063">
            <w:pPr>
              <w:pStyle w:val="paragraph"/>
              <w:spacing w:line="240" w:lineRule="auto"/>
              <w:rPr>
                <w:rFonts w:ascii="Calibri" w:eastAsia="PMingLiU" w:hAnsi="Calibri" w:cs="Calibri"/>
                <w:color w:val="000000"/>
              </w:rPr>
            </w:pPr>
            <w:r w:rsidRPr="00C82E06">
              <w:rPr>
                <w:rFonts w:ascii="Calibri" w:eastAsia="PMingLiU" w:hAnsi="Calibri" w:cs="Calibri"/>
                <w:color w:val="000000"/>
              </w:rPr>
              <w:t xml:space="preserve">　</w:t>
            </w:r>
          </w:p>
        </w:tc>
      </w:tr>
      <w:tr w:rsidR="00152B20" w:rsidRPr="00C82E06" w14:paraId="300D4D21" w14:textId="77777777" w:rsidTr="00884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542" w:type="dxa"/>
            <w:vMerge/>
            <w:shd w:val="clear" w:color="auto" w:fill="D9D9D9" w:themeFill="background1" w:themeFillShade="D9"/>
            <w:vAlign w:val="center"/>
            <w:hideMark/>
          </w:tcPr>
          <w:p w14:paraId="2A26798D" w14:textId="77777777" w:rsidR="00152B20" w:rsidRPr="008849A8" w:rsidRDefault="00152B20" w:rsidP="002A2063">
            <w:pPr>
              <w:pStyle w:val="paragraph"/>
              <w:spacing w:line="240" w:lineRule="auto"/>
              <w:rPr>
                <w:b/>
                <w:bCs/>
              </w:rPr>
            </w:pPr>
          </w:p>
        </w:tc>
        <w:tc>
          <w:tcPr>
            <w:tcW w:w="1417" w:type="dxa"/>
            <w:shd w:val="clear" w:color="auto" w:fill="auto"/>
            <w:vAlign w:val="center"/>
            <w:hideMark/>
          </w:tcPr>
          <w:p w14:paraId="2111F083" w14:textId="77777777" w:rsidR="00152B20" w:rsidRPr="002A2063" w:rsidRDefault="00152B20" w:rsidP="002A2063">
            <w:pPr>
              <w:pStyle w:val="paragraph"/>
              <w:spacing w:line="240" w:lineRule="auto"/>
            </w:pPr>
            <w:r w:rsidRPr="002A2063">
              <w:t>USB cable</w:t>
            </w:r>
          </w:p>
        </w:tc>
        <w:tc>
          <w:tcPr>
            <w:tcW w:w="1418" w:type="dxa"/>
            <w:shd w:val="clear" w:color="auto" w:fill="auto"/>
            <w:noWrap/>
            <w:vAlign w:val="center"/>
            <w:hideMark/>
          </w:tcPr>
          <w:p w14:paraId="4844A6B5" w14:textId="77777777" w:rsidR="00152B20" w:rsidRPr="002A2063" w:rsidRDefault="00152B20" w:rsidP="002A2063">
            <w:pPr>
              <w:pStyle w:val="paragraph"/>
              <w:spacing w:line="240" w:lineRule="auto"/>
            </w:pPr>
            <w:r w:rsidRPr="002A2063">
              <w:t>3 months</w:t>
            </w:r>
          </w:p>
        </w:tc>
        <w:tc>
          <w:tcPr>
            <w:tcW w:w="4002" w:type="dxa"/>
            <w:shd w:val="clear" w:color="auto" w:fill="auto"/>
            <w:noWrap/>
            <w:vAlign w:val="center"/>
            <w:hideMark/>
          </w:tcPr>
          <w:p w14:paraId="0CBC54C9" w14:textId="77777777" w:rsidR="00152B20" w:rsidRPr="00C82E06" w:rsidRDefault="00152B20" w:rsidP="002A2063">
            <w:pPr>
              <w:pStyle w:val="paragraph"/>
              <w:spacing w:line="240" w:lineRule="auto"/>
              <w:rPr>
                <w:rFonts w:ascii="Calibri" w:eastAsia="PMingLiU" w:hAnsi="Calibri" w:cs="Calibri"/>
                <w:color w:val="000000"/>
              </w:rPr>
            </w:pPr>
            <w:r w:rsidRPr="00C82E06">
              <w:rPr>
                <w:rFonts w:ascii="Calibri" w:eastAsia="PMingLiU" w:hAnsi="Calibri" w:cs="Calibri"/>
                <w:color w:val="000000"/>
              </w:rPr>
              <w:t xml:space="preserve">　</w:t>
            </w:r>
          </w:p>
        </w:tc>
      </w:tr>
      <w:tr w:rsidR="00152B20" w:rsidRPr="00C82E06" w14:paraId="549DA146" w14:textId="77777777" w:rsidTr="00884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542" w:type="dxa"/>
            <w:vMerge/>
            <w:shd w:val="clear" w:color="auto" w:fill="D9D9D9" w:themeFill="background1" w:themeFillShade="D9"/>
            <w:vAlign w:val="center"/>
            <w:hideMark/>
          </w:tcPr>
          <w:p w14:paraId="0954C7FA" w14:textId="77777777" w:rsidR="00152B20" w:rsidRPr="008849A8" w:rsidRDefault="00152B20" w:rsidP="002A2063">
            <w:pPr>
              <w:pStyle w:val="paragraph"/>
              <w:spacing w:line="240" w:lineRule="auto"/>
              <w:rPr>
                <w:b/>
                <w:bCs/>
              </w:rPr>
            </w:pPr>
          </w:p>
        </w:tc>
        <w:tc>
          <w:tcPr>
            <w:tcW w:w="1417" w:type="dxa"/>
            <w:shd w:val="clear" w:color="auto" w:fill="auto"/>
            <w:vAlign w:val="center"/>
            <w:hideMark/>
          </w:tcPr>
          <w:p w14:paraId="14888542" w14:textId="77777777" w:rsidR="00152B20" w:rsidRPr="002A2063" w:rsidRDefault="00152B20" w:rsidP="002A2063">
            <w:pPr>
              <w:pStyle w:val="paragraph"/>
              <w:spacing w:line="240" w:lineRule="auto"/>
            </w:pPr>
            <w:r w:rsidRPr="002A2063">
              <w:t>All External Enclosures</w:t>
            </w:r>
          </w:p>
        </w:tc>
        <w:tc>
          <w:tcPr>
            <w:tcW w:w="1418" w:type="dxa"/>
            <w:shd w:val="clear" w:color="auto" w:fill="auto"/>
            <w:noWrap/>
            <w:vAlign w:val="center"/>
            <w:hideMark/>
          </w:tcPr>
          <w:p w14:paraId="546CFABC" w14:textId="77777777" w:rsidR="00152B20" w:rsidRPr="002A2063" w:rsidRDefault="00152B20" w:rsidP="002A2063">
            <w:pPr>
              <w:pStyle w:val="paragraph"/>
              <w:spacing w:line="240" w:lineRule="auto"/>
            </w:pPr>
            <w:r w:rsidRPr="002A2063">
              <w:t>2 years</w:t>
            </w:r>
          </w:p>
        </w:tc>
        <w:tc>
          <w:tcPr>
            <w:tcW w:w="4002" w:type="dxa"/>
            <w:shd w:val="clear" w:color="auto" w:fill="auto"/>
            <w:noWrap/>
            <w:vAlign w:val="center"/>
            <w:hideMark/>
          </w:tcPr>
          <w:p w14:paraId="73DBDC41" w14:textId="77777777" w:rsidR="00152B20" w:rsidRPr="00C82E06" w:rsidRDefault="00152B20" w:rsidP="002A2063">
            <w:pPr>
              <w:pStyle w:val="paragraph"/>
              <w:spacing w:line="240" w:lineRule="auto"/>
              <w:rPr>
                <w:rFonts w:ascii="Calibri" w:eastAsia="PMingLiU" w:hAnsi="Calibri" w:cs="Calibri"/>
                <w:color w:val="000000"/>
              </w:rPr>
            </w:pPr>
            <w:r w:rsidRPr="00C82E06">
              <w:rPr>
                <w:rFonts w:ascii="Calibri" w:eastAsia="PMingLiU" w:hAnsi="Calibri" w:cs="Calibri"/>
                <w:color w:val="000000"/>
              </w:rPr>
              <w:t xml:space="preserve">　</w:t>
            </w:r>
          </w:p>
        </w:tc>
      </w:tr>
      <w:tr w:rsidR="00152B20" w:rsidRPr="00C82E06" w14:paraId="422CB387" w14:textId="77777777" w:rsidTr="00884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542" w:type="dxa"/>
            <w:vMerge w:val="restart"/>
            <w:shd w:val="clear" w:color="auto" w:fill="D9D9D9" w:themeFill="background1" w:themeFillShade="D9"/>
            <w:vAlign w:val="center"/>
            <w:hideMark/>
          </w:tcPr>
          <w:p w14:paraId="3E40D76B" w14:textId="77777777" w:rsidR="00152B20" w:rsidRPr="008849A8" w:rsidRDefault="00152B20" w:rsidP="002A2063">
            <w:pPr>
              <w:pStyle w:val="paragraph"/>
              <w:spacing w:line="240" w:lineRule="auto"/>
              <w:rPr>
                <w:b/>
                <w:bCs/>
              </w:rPr>
            </w:pPr>
            <w:r w:rsidRPr="008849A8">
              <w:rPr>
                <w:b/>
                <w:bCs/>
              </w:rPr>
              <w:t>Accessory</w:t>
            </w:r>
          </w:p>
        </w:tc>
        <w:tc>
          <w:tcPr>
            <w:tcW w:w="1417" w:type="dxa"/>
            <w:shd w:val="clear" w:color="auto" w:fill="auto"/>
            <w:vAlign w:val="center"/>
            <w:hideMark/>
          </w:tcPr>
          <w:p w14:paraId="5894E74E" w14:textId="77777777" w:rsidR="00152B20" w:rsidRPr="002A2063" w:rsidRDefault="00152B20" w:rsidP="002A2063">
            <w:pPr>
              <w:pStyle w:val="paragraph"/>
              <w:spacing w:line="240" w:lineRule="auto"/>
            </w:pPr>
            <w:r w:rsidRPr="002A2063">
              <w:t>Blast Plug</w:t>
            </w:r>
          </w:p>
        </w:tc>
        <w:tc>
          <w:tcPr>
            <w:tcW w:w="1418" w:type="dxa"/>
            <w:shd w:val="clear" w:color="auto" w:fill="auto"/>
            <w:vAlign w:val="center"/>
            <w:hideMark/>
          </w:tcPr>
          <w:p w14:paraId="637A8775" w14:textId="77777777" w:rsidR="00152B20" w:rsidRPr="002A2063" w:rsidRDefault="00152B20" w:rsidP="002A2063">
            <w:pPr>
              <w:pStyle w:val="paragraph"/>
              <w:spacing w:line="240" w:lineRule="auto"/>
            </w:pPr>
            <w:r w:rsidRPr="002A2063">
              <w:t>12 months</w:t>
            </w:r>
          </w:p>
        </w:tc>
        <w:tc>
          <w:tcPr>
            <w:tcW w:w="4002" w:type="dxa"/>
            <w:shd w:val="clear" w:color="auto" w:fill="auto"/>
            <w:noWrap/>
            <w:vAlign w:val="center"/>
            <w:hideMark/>
          </w:tcPr>
          <w:p w14:paraId="6EAB7176" w14:textId="77777777" w:rsidR="00152B20" w:rsidRPr="00C82E06" w:rsidRDefault="00152B20" w:rsidP="002A2063">
            <w:pPr>
              <w:pStyle w:val="paragraph"/>
              <w:spacing w:line="240" w:lineRule="auto"/>
              <w:rPr>
                <w:rFonts w:ascii="Calibri" w:eastAsia="PMingLiU" w:hAnsi="Calibri" w:cs="Calibri"/>
                <w:color w:val="000000"/>
              </w:rPr>
            </w:pPr>
            <w:r w:rsidRPr="00C82E06">
              <w:rPr>
                <w:rFonts w:ascii="Calibri" w:eastAsia="PMingLiU" w:hAnsi="Calibri" w:cs="Calibri"/>
                <w:color w:val="000000"/>
              </w:rPr>
              <w:t xml:space="preserve">　</w:t>
            </w:r>
          </w:p>
        </w:tc>
      </w:tr>
      <w:tr w:rsidR="00152B20" w:rsidRPr="00C82E06" w14:paraId="2A3655B5" w14:textId="77777777" w:rsidTr="00884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542" w:type="dxa"/>
            <w:vMerge/>
            <w:shd w:val="clear" w:color="auto" w:fill="D9D9D9" w:themeFill="background1" w:themeFillShade="D9"/>
            <w:vAlign w:val="center"/>
            <w:hideMark/>
          </w:tcPr>
          <w:p w14:paraId="47F01F07" w14:textId="77777777" w:rsidR="00152B20" w:rsidRPr="00C82E06" w:rsidRDefault="00152B20" w:rsidP="002A2063">
            <w:pPr>
              <w:pStyle w:val="paragraph"/>
              <w:spacing w:line="240" w:lineRule="auto"/>
              <w:rPr>
                <w:rFonts w:ascii="Calibri" w:eastAsia="PMingLiU" w:hAnsi="Calibri" w:cs="Calibri"/>
                <w:color w:val="000000"/>
              </w:rPr>
            </w:pPr>
          </w:p>
        </w:tc>
        <w:tc>
          <w:tcPr>
            <w:tcW w:w="1417" w:type="dxa"/>
            <w:shd w:val="clear" w:color="auto" w:fill="auto"/>
            <w:vAlign w:val="center"/>
            <w:hideMark/>
          </w:tcPr>
          <w:p w14:paraId="61E33957" w14:textId="77777777" w:rsidR="00152B20" w:rsidRPr="002A2063" w:rsidRDefault="00152B20" w:rsidP="002A2063">
            <w:pPr>
              <w:pStyle w:val="paragraph"/>
              <w:spacing w:line="240" w:lineRule="auto"/>
            </w:pPr>
            <w:r w:rsidRPr="002A2063">
              <w:t>Boost Link</w:t>
            </w:r>
          </w:p>
        </w:tc>
        <w:tc>
          <w:tcPr>
            <w:tcW w:w="1418" w:type="dxa"/>
            <w:shd w:val="clear" w:color="auto" w:fill="auto"/>
            <w:vAlign w:val="center"/>
            <w:hideMark/>
          </w:tcPr>
          <w:p w14:paraId="651BAABA" w14:textId="77777777" w:rsidR="00152B20" w:rsidRPr="002A2063" w:rsidRDefault="00152B20" w:rsidP="002A2063">
            <w:pPr>
              <w:pStyle w:val="paragraph"/>
              <w:spacing w:line="240" w:lineRule="auto"/>
            </w:pPr>
            <w:r w:rsidRPr="002A2063">
              <w:t>12 months</w:t>
            </w:r>
          </w:p>
        </w:tc>
        <w:tc>
          <w:tcPr>
            <w:tcW w:w="4002" w:type="dxa"/>
            <w:shd w:val="clear" w:color="auto" w:fill="auto"/>
            <w:noWrap/>
            <w:vAlign w:val="center"/>
            <w:hideMark/>
          </w:tcPr>
          <w:p w14:paraId="71717F87" w14:textId="77777777" w:rsidR="00152B20" w:rsidRPr="00C82E06" w:rsidRDefault="00152B20" w:rsidP="002A2063">
            <w:pPr>
              <w:pStyle w:val="paragraph"/>
              <w:spacing w:line="240" w:lineRule="auto"/>
              <w:rPr>
                <w:rFonts w:ascii="Calibri" w:eastAsia="PMingLiU" w:hAnsi="Calibri" w:cs="Calibri"/>
                <w:color w:val="000000"/>
              </w:rPr>
            </w:pPr>
            <w:r w:rsidRPr="00C82E06">
              <w:rPr>
                <w:rFonts w:ascii="Calibri" w:eastAsia="PMingLiU" w:hAnsi="Calibri" w:cs="Calibri"/>
                <w:color w:val="000000"/>
              </w:rPr>
              <w:t xml:space="preserve">　</w:t>
            </w:r>
          </w:p>
        </w:tc>
      </w:tr>
      <w:tr w:rsidR="00152B20" w:rsidRPr="00C82E06" w14:paraId="3789C17A" w14:textId="77777777" w:rsidTr="00884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542" w:type="dxa"/>
            <w:vMerge/>
            <w:shd w:val="clear" w:color="auto" w:fill="D9D9D9" w:themeFill="background1" w:themeFillShade="D9"/>
            <w:vAlign w:val="center"/>
            <w:hideMark/>
          </w:tcPr>
          <w:p w14:paraId="0182B761" w14:textId="77777777" w:rsidR="00152B20" w:rsidRPr="00C82E06" w:rsidRDefault="00152B20" w:rsidP="002A2063">
            <w:pPr>
              <w:pStyle w:val="paragraph"/>
              <w:spacing w:line="240" w:lineRule="auto"/>
              <w:rPr>
                <w:rFonts w:ascii="Calibri" w:eastAsia="PMingLiU" w:hAnsi="Calibri" w:cs="Calibri"/>
                <w:color w:val="000000"/>
              </w:rPr>
            </w:pPr>
          </w:p>
        </w:tc>
        <w:tc>
          <w:tcPr>
            <w:tcW w:w="1417" w:type="dxa"/>
            <w:shd w:val="clear" w:color="auto" w:fill="auto"/>
            <w:vAlign w:val="center"/>
            <w:hideMark/>
          </w:tcPr>
          <w:p w14:paraId="0EC1C7AD" w14:textId="77777777" w:rsidR="00152B20" w:rsidRPr="00C82E06" w:rsidRDefault="00152B20" w:rsidP="002A2063">
            <w:pPr>
              <w:pStyle w:val="paragraph"/>
              <w:spacing w:line="240" w:lineRule="auto"/>
              <w:rPr>
                <w:rFonts w:ascii="Calibri" w:eastAsia="PMingLiU" w:hAnsi="Calibri" w:cs="Calibri"/>
                <w:color w:val="000000"/>
              </w:rPr>
            </w:pPr>
            <w:r w:rsidRPr="00C82E06">
              <w:rPr>
                <w:rFonts w:ascii="Calibri" w:eastAsia="PMingLiU" w:hAnsi="Calibri" w:cs="Calibri"/>
                <w:color w:val="000000"/>
              </w:rPr>
              <w:t>Boost Charger</w:t>
            </w:r>
            <w:r w:rsidRPr="00C82E06">
              <w:rPr>
                <w:rFonts w:ascii="inherit" w:eastAsia="PMingLiU" w:hAnsi="inherit" w:cs="Calibri"/>
                <w:color w:val="000000"/>
              </w:rPr>
              <w:t>、</w:t>
            </w:r>
            <w:r w:rsidRPr="00C82E06">
              <w:rPr>
                <w:rFonts w:ascii="Calibri" w:eastAsia="PMingLiU" w:hAnsi="Calibri" w:cs="Calibri"/>
                <w:color w:val="000000"/>
              </w:rPr>
              <w:t>Car Charger</w:t>
            </w:r>
          </w:p>
        </w:tc>
        <w:tc>
          <w:tcPr>
            <w:tcW w:w="1418" w:type="dxa"/>
            <w:shd w:val="clear" w:color="auto" w:fill="auto"/>
            <w:vAlign w:val="center"/>
            <w:hideMark/>
          </w:tcPr>
          <w:p w14:paraId="3B15FD9C" w14:textId="77777777" w:rsidR="00152B20" w:rsidRPr="00C82E06" w:rsidRDefault="00152B20" w:rsidP="002A2063">
            <w:pPr>
              <w:pStyle w:val="paragraph"/>
              <w:spacing w:line="240" w:lineRule="auto"/>
              <w:rPr>
                <w:rFonts w:ascii="Calibri" w:eastAsia="PMingLiU" w:hAnsi="Calibri" w:cs="Calibri"/>
                <w:color w:val="000000"/>
              </w:rPr>
            </w:pPr>
            <w:r w:rsidRPr="00C82E06">
              <w:rPr>
                <w:rFonts w:ascii="Calibri" w:eastAsia="PMingLiU" w:hAnsi="Calibri" w:cs="Calibri"/>
                <w:color w:val="000000"/>
              </w:rPr>
              <w:t>12 months</w:t>
            </w:r>
          </w:p>
        </w:tc>
        <w:tc>
          <w:tcPr>
            <w:tcW w:w="4002" w:type="dxa"/>
            <w:shd w:val="clear" w:color="auto" w:fill="auto"/>
            <w:noWrap/>
            <w:vAlign w:val="center"/>
            <w:hideMark/>
          </w:tcPr>
          <w:p w14:paraId="55AF0CC5" w14:textId="77777777" w:rsidR="00152B20" w:rsidRPr="00C82E06" w:rsidRDefault="00152B20" w:rsidP="002A2063">
            <w:pPr>
              <w:pStyle w:val="paragraph"/>
              <w:spacing w:line="240" w:lineRule="auto"/>
              <w:rPr>
                <w:rFonts w:ascii="Calibri" w:eastAsia="PMingLiU" w:hAnsi="Calibri" w:cs="Calibri"/>
                <w:color w:val="000000"/>
              </w:rPr>
            </w:pPr>
            <w:r w:rsidRPr="00C82E06">
              <w:rPr>
                <w:rFonts w:ascii="Calibri" w:eastAsia="PMingLiU" w:hAnsi="Calibri" w:cs="Calibri"/>
                <w:color w:val="000000"/>
              </w:rPr>
              <w:t xml:space="preserve">　</w:t>
            </w:r>
          </w:p>
        </w:tc>
      </w:tr>
      <w:tr w:rsidR="00152B20" w:rsidRPr="00C82E06" w14:paraId="1E89FFB6" w14:textId="77777777" w:rsidTr="00884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542" w:type="dxa"/>
            <w:vMerge/>
            <w:shd w:val="clear" w:color="auto" w:fill="D9D9D9" w:themeFill="background1" w:themeFillShade="D9"/>
            <w:vAlign w:val="center"/>
            <w:hideMark/>
          </w:tcPr>
          <w:p w14:paraId="3AD02BFA" w14:textId="77777777" w:rsidR="00152B20" w:rsidRPr="00C82E06" w:rsidRDefault="00152B20" w:rsidP="002A2063">
            <w:pPr>
              <w:pStyle w:val="paragraph"/>
              <w:spacing w:line="240" w:lineRule="auto"/>
              <w:rPr>
                <w:rFonts w:ascii="Calibri" w:eastAsia="PMingLiU" w:hAnsi="Calibri" w:cs="Calibri"/>
                <w:color w:val="000000"/>
              </w:rPr>
            </w:pPr>
          </w:p>
        </w:tc>
        <w:tc>
          <w:tcPr>
            <w:tcW w:w="1417" w:type="dxa"/>
            <w:shd w:val="clear" w:color="auto" w:fill="auto"/>
            <w:vAlign w:val="center"/>
            <w:hideMark/>
          </w:tcPr>
          <w:p w14:paraId="5F33FAAC" w14:textId="77777777" w:rsidR="00152B20" w:rsidRPr="00C82E06" w:rsidRDefault="00152B20" w:rsidP="002A2063">
            <w:pPr>
              <w:pStyle w:val="paragraph"/>
              <w:spacing w:line="240" w:lineRule="auto"/>
              <w:rPr>
                <w:rFonts w:ascii="Calibri" w:eastAsia="PMingLiU" w:hAnsi="Calibri" w:cs="Calibri"/>
                <w:color w:val="000000"/>
              </w:rPr>
            </w:pPr>
            <w:r w:rsidRPr="00C82E06">
              <w:rPr>
                <w:rFonts w:ascii="Calibri" w:eastAsia="PMingLiU" w:hAnsi="Calibri" w:cs="Calibri"/>
                <w:color w:val="000000"/>
              </w:rPr>
              <w:t>Wireless Charger</w:t>
            </w:r>
          </w:p>
        </w:tc>
        <w:tc>
          <w:tcPr>
            <w:tcW w:w="1418" w:type="dxa"/>
            <w:shd w:val="clear" w:color="auto" w:fill="auto"/>
            <w:vAlign w:val="center"/>
            <w:hideMark/>
          </w:tcPr>
          <w:p w14:paraId="6824850E" w14:textId="77777777" w:rsidR="00152B20" w:rsidRPr="00C82E06" w:rsidRDefault="00152B20" w:rsidP="002A2063">
            <w:pPr>
              <w:pStyle w:val="paragraph"/>
              <w:spacing w:line="240" w:lineRule="auto"/>
              <w:rPr>
                <w:rFonts w:ascii="Calibri" w:eastAsia="PMingLiU" w:hAnsi="Calibri" w:cs="Calibri"/>
                <w:color w:val="000000"/>
              </w:rPr>
            </w:pPr>
            <w:r w:rsidRPr="00C82E06">
              <w:rPr>
                <w:rFonts w:ascii="Calibri" w:eastAsia="PMingLiU" w:hAnsi="Calibri" w:cs="Calibri"/>
                <w:color w:val="000000"/>
              </w:rPr>
              <w:t>12 months</w:t>
            </w:r>
          </w:p>
        </w:tc>
        <w:tc>
          <w:tcPr>
            <w:tcW w:w="4002" w:type="dxa"/>
            <w:shd w:val="clear" w:color="auto" w:fill="auto"/>
            <w:noWrap/>
            <w:vAlign w:val="center"/>
            <w:hideMark/>
          </w:tcPr>
          <w:p w14:paraId="5C114B7E" w14:textId="77777777" w:rsidR="00152B20" w:rsidRPr="00C82E06" w:rsidRDefault="00152B20" w:rsidP="002A2063">
            <w:pPr>
              <w:pStyle w:val="paragraph"/>
              <w:spacing w:line="240" w:lineRule="auto"/>
              <w:rPr>
                <w:rFonts w:ascii="Calibri" w:eastAsia="PMingLiU" w:hAnsi="Calibri" w:cs="Calibri"/>
                <w:color w:val="000000"/>
              </w:rPr>
            </w:pPr>
            <w:r w:rsidRPr="00C82E06">
              <w:rPr>
                <w:rFonts w:ascii="Calibri" w:eastAsia="PMingLiU" w:hAnsi="Calibri" w:cs="Calibri"/>
                <w:color w:val="000000"/>
              </w:rPr>
              <w:t xml:space="preserve">　</w:t>
            </w:r>
          </w:p>
        </w:tc>
      </w:tr>
    </w:tbl>
    <w:p w14:paraId="2F23A1EA" w14:textId="77777777" w:rsidR="00152B20" w:rsidRDefault="00152B20" w:rsidP="00C82E06"/>
    <w:p w14:paraId="05075BB6" w14:textId="77777777" w:rsidR="00152B20" w:rsidRPr="00C82E06" w:rsidRDefault="00152B20" w:rsidP="00C82E06"/>
    <w:p w14:paraId="06561675" w14:textId="77777777" w:rsidR="00C82E06" w:rsidRPr="00C82E06" w:rsidRDefault="00C82E06" w:rsidP="00C82E06"/>
    <w:sectPr w:rsidR="00C82E06" w:rsidRPr="00C82E06">
      <w:headerReference w:type="default" r:id="rId17"/>
      <w:footerReference w:type="default" r:id="rId1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811EB" w14:textId="77777777" w:rsidR="00A25DA6" w:rsidRDefault="00A25DA6" w:rsidP="00A25DA6">
      <w:pPr>
        <w:spacing w:line="240" w:lineRule="auto"/>
      </w:pPr>
      <w:r>
        <w:separator/>
      </w:r>
    </w:p>
  </w:endnote>
  <w:endnote w:type="continuationSeparator" w:id="0">
    <w:p w14:paraId="7641582F" w14:textId="77777777" w:rsidR="00A25DA6" w:rsidRDefault="00A25DA6" w:rsidP="00A25D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Microsoft YaHei">
    <w:panose1 w:val="020B0503020204020204"/>
    <w:charset w:val="86"/>
    <w:family w:val="swiss"/>
    <w:pitch w:val="variable"/>
    <w:sig w:usb0="80000287" w:usb1="2ACF3C50" w:usb2="00000016" w:usb3="00000000" w:csb0="0004001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6040A" w14:textId="77777777" w:rsidR="00EF00F1" w:rsidRDefault="00EF00F1" w:rsidP="00EF00F1">
    <w:pPr>
      <w:pStyle w:val="PageNumber1"/>
      <w:jc w:val="right"/>
    </w:pPr>
    <w:r w:rsidRPr="00FA1C9E">
      <w:rPr>
        <w:noProof/>
      </w:rPr>
      <w:drawing>
        <wp:anchor distT="0" distB="0" distL="114300" distR="114300" simplePos="0" relativeHeight="251661312" behindDoc="1" locked="0" layoutInCell="1" allowOverlap="1" wp14:anchorId="472A7306" wp14:editId="428B90FC">
          <wp:simplePos x="0" y="0"/>
          <wp:positionH relativeFrom="margin">
            <wp:align>left</wp:align>
          </wp:positionH>
          <wp:positionV relativeFrom="bottomMargin">
            <wp:posOffset>83820</wp:posOffset>
          </wp:positionV>
          <wp:extent cx="941832" cy="448056"/>
          <wp:effectExtent l="0" t="0" r="0" b="9525"/>
          <wp:wrapTight wrapText="bothSides">
            <wp:wrapPolygon edited="0">
              <wp:start x="0" y="0"/>
              <wp:lineTo x="0" y="21140"/>
              <wp:lineTo x="20974" y="21140"/>
              <wp:lineTo x="20974" y="0"/>
              <wp:lineTo x="0" y="0"/>
            </wp:wrapPolygon>
          </wp:wrapTight>
          <wp:docPr id="157" name="Picture 15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1832" cy="448056"/>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1C9E">
      <w:t xml:space="preserve">Page </w:t>
    </w:r>
    <w:r w:rsidRPr="00FA1C9E">
      <w:fldChar w:fldCharType="begin"/>
    </w:r>
    <w:r w:rsidRPr="00FA1C9E">
      <w:instrText xml:space="preserve"> PAGE  \* Arabic  \* MERGEFORMAT </w:instrText>
    </w:r>
    <w:r w:rsidRPr="00FA1C9E">
      <w:fldChar w:fldCharType="separate"/>
    </w:r>
    <w:r>
      <w:t>1</w:t>
    </w:r>
    <w:r w:rsidRPr="00FA1C9E">
      <w:fldChar w:fldCharType="end"/>
    </w:r>
    <w:r w:rsidRPr="00FA1C9E">
      <w:t xml:space="preserve"> of </w:t>
    </w:r>
    <w:r>
      <w:fldChar w:fldCharType="begin"/>
    </w:r>
    <w:r>
      <w:instrText xml:space="preserve"> NUMPAGES  \* Arabic  \* MERGEFORMAT </w:instrText>
    </w:r>
    <w:r>
      <w:fldChar w:fldCharType="separate"/>
    </w:r>
    <w:r>
      <w:t>1</w:t>
    </w:r>
    <w:r>
      <w:fldChar w:fldCharType="end"/>
    </w:r>
    <w:r>
      <w:t xml:space="preserve"> </w:t>
    </w:r>
  </w:p>
  <w:p w14:paraId="6285EEE3" w14:textId="77777777" w:rsidR="00EF00F1" w:rsidRPr="00524D04" w:rsidRDefault="00EF00F1" w:rsidP="00EF00F1">
    <w:pPr>
      <w:spacing w:line="240" w:lineRule="auto"/>
      <w:jc w:val="right"/>
      <w:rPr>
        <w:sz w:val="16"/>
        <w:szCs w:val="16"/>
      </w:rPr>
    </w:pPr>
    <w:hyperlink r:id="rId2" w:history="1">
      <w:r w:rsidRPr="00143D43">
        <w:rPr>
          <w:rStyle w:val="Hyperlink"/>
          <w:sz w:val="16"/>
          <w:szCs w:val="16"/>
        </w:rPr>
        <w:t>returns.authorities@dickerdata.co,nz</w:t>
      </w:r>
    </w:hyperlink>
    <w:r>
      <w:rPr>
        <w:rStyle w:val="ui-provider"/>
        <w:sz w:val="16"/>
        <w:szCs w:val="16"/>
      </w:rPr>
      <w:t xml:space="preserve"> </w:t>
    </w:r>
    <w:r w:rsidRPr="00FA1C9E">
      <w:rPr>
        <w:noProof/>
      </w:rPr>
      <mc:AlternateContent>
        <mc:Choice Requires="wps">
          <w:drawing>
            <wp:anchor distT="0" distB="0" distL="114300" distR="114300" simplePos="0" relativeHeight="251660288" behindDoc="0" locked="0" layoutInCell="1" allowOverlap="1" wp14:anchorId="7F45EB49" wp14:editId="38604442">
              <wp:simplePos x="0" y="0"/>
              <wp:positionH relativeFrom="page">
                <wp:posOffset>-635</wp:posOffset>
              </wp:positionH>
              <wp:positionV relativeFrom="page">
                <wp:align>bottom</wp:align>
              </wp:positionV>
              <wp:extent cx="7567200" cy="0"/>
              <wp:effectExtent l="0" t="19050" r="53340" b="38100"/>
              <wp:wrapNone/>
              <wp:docPr id="8" name="Straight Connector 8"/>
              <wp:cNvGraphicFramePr/>
              <a:graphic xmlns:a="http://schemas.openxmlformats.org/drawingml/2006/main">
                <a:graphicData uri="http://schemas.microsoft.com/office/word/2010/wordprocessingShape">
                  <wps:wsp>
                    <wps:cNvCnPr/>
                    <wps:spPr>
                      <a:xfrm>
                        <a:off x="0" y="0"/>
                        <a:ext cx="7567200" cy="0"/>
                      </a:xfrm>
                      <a:prstGeom prst="line">
                        <a:avLst/>
                      </a:prstGeom>
                      <a:ln w="63500">
                        <a:solidFill>
                          <a:srgbClr val="C20047"/>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B8306C"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 from="-.05pt,0" to="595.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" strokecolor="#c20047" strokeweight="5pt">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C4333" w14:textId="77777777" w:rsidR="00A25DA6" w:rsidRDefault="00A25DA6" w:rsidP="00A25DA6">
      <w:pPr>
        <w:spacing w:line="240" w:lineRule="auto"/>
      </w:pPr>
      <w:r>
        <w:separator/>
      </w:r>
    </w:p>
  </w:footnote>
  <w:footnote w:type="continuationSeparator" w:id="0">
    <w:p w14:paraId="5E487E6B" w14:textId="77777777" w:rsidR="00A25DA6" w:rsidRDefault="00A25DA6" w:rsidP="00A25D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CAF6C" w14:textId="79E38EFC" w:rsidR="00A25DA6" w:rsidRDefault="00A25DA6">
    <w:pPr>
      <w:pStyle w:val="Header"/>
    </w:pPr>
    <w:r>
      <w:rPr>
        <w:noProof/>
      </w:rPr>
      <w:drawing>
        <wp:anchor distT="0" distB="0" distL="114300" distR="114300" simplePos="0" relativeHeight="251658240" behindDoc="0" locked="0" layoutInCell="1" allowOverlap="1" wp14:anchorId="29F16178" wp14:editId="471E9368">
          <wp:simplePos x="0" y="0"/>
          <wp:positionH relativeFrom="page">
            <wp:posOffset>3212465</wp:posOffset>
          </wp:positionH>
          <wp:positionV relativeFrom="topMargin">
            <wp:posOffset>345440</wp:posOffset>
          </wp:positionV>
          <wp:extent cx="1135440" cy="452880"/>
          <wp:effectExtent l="0" t="0" r="0" b="0"/>
          <wp:wrapNone/>
          <wp:docPr id="138334579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345797" name="Graphic 138334579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35440" cy="4528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64DE1"/>
    <w:multiLevelType w:val="hybridMultilevel"/>
    <w:tmpl w:val="E9DEB03A"/>
    <w:lvl w:ilvl="0" w:tplc="F4C616A4">
      <w:start w:val="1"/>
      <w:numFmt w:val="decimal"/>
      <w:pStyle w:val="ListParagraph"/>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0E5AF1"/>
    <w:multiLevelType w:val="hybridMultilevel"/>
    <w:tmpl w:val="6BDC5D12"/>
    <w:lvl w:ilvl="0" w:tplc="1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90B1FBD"/>
    <w:multiLevelType w:val="hybridMultilevel"/>
    <w:tmpl w:val="8098B986"/>
    <w:lvl w:ilvl="0" w:tplc="1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FAC5CC0"/>
    <w:multiLevelType w:val="hybridMultilevel"/>
    <w:tmpl w:val="EA6A9558"/>
    <w:lvl w:ilvl="0" w:tplc="14090015">
      <w:start w:val="1"/>
      <w:numFmt w:val="upp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47414DF2"/>
    <w:multiLevelType w:val="multilevel"/>
    <w:tmpl w:val="0540C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D50B0E"/>
    <w:multiLevelType w:val="hybridMultilevel"/>
    <w:tmpl w:val="7086313C"/>
    <w:lvl w:ilvl="0" w:tplc="14090015">
      <w:start w:val="1"/>
      <w:numFmt w:val="upp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6" w15:restartNumberingAfterBreak="0">
    <w:nsid w:val="55950D3E"/>
    <w:multiLevelType w:val="hybridMultilevel"/>
    <w:tmpl w:val="BD4C994E"/>
    <w:lvl w:ilvl="0" w:tplc="1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90722CA"/>
    <w:multiLevelType w:val="hybridMultilevel"/>
    <w:tmpl w:val="BDBEA9E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5EE40B41"/>
    <w:multiLevelType w:val="multilevel"/>
    <w:tmpl w:val="D61EC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FE60745"/>
    <w:multiLevelType w:val="hybridMultilevel"/>
    <w:tmpl w:val="EF4CF302"/>
    <w:lvl w:ilvl="0" w:tplc="1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64D343C"/>
    <w:multiLevelType w:val="multilevel"/>
    <w:tmpl w:val="416E7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D934B3B"/>
    <w:multiLevelType w:val="multilevel"/>
    <w:tmpl w:val="CF50A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14787049">
    <w:abstractNumId w:val="4"/>
  </w:num>
  <w:num w:numId="2" w16cid:durableId="162478214">
    <w:abstractNumId w:val="11"/>
  </w:num>
  <w:num w:numId="3" w16cid:durableId="1440220196">
    <w:abstractNumId w:val="10"/>
  </w:num>
  <w:num w:numId="4" w16cid:durableId="1425027328">
    <w:abstractNumId w:val="8"/>
  </w:num>
  <w:num w:numId="5" w16cid:durableId="1567643293">
    <w:abstractNumId w:val="0"/>
  </w:num>
  <w:num w:numId="6" w16cid:durableId="992176173">
    <w:abstractNumId w:val="6"/>
  </w:num>
  <w:num w:numId="7" w16cid:durableId="561529502">
    <w:abstractNumId w:val="9"/>
  </w:num>
  <w:num w:numId="8" w16cid:durableId="1526285654">
    <w:abstractNumId w:val="2"/>
  </w:num>
  <w:num w:numId="9" w16cid:durableId="376666471">
    <w:abstractNumId w:val="1"/>
  </w:num>
  <w:num w:numId="10" w16cid:durableId="665865236">
    <w:abstractNumId w:val="7"/>
  </w:num>
  <w:num w:numId="11" w16cid:durableId="1288855239">
    <w:abstractNumId w:val="3"/>
  </w:num>
  <w:num w:numId="12" w16cid:durableId="9379046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BE9"/>
    <w:rsid w:val="0014119D"/>
    <w:rsid w:val="00152B20"/>
    <w:rsid w:val="00291E30"/>
    <w:rsid w:val="002A03D7"/>
    <w:rsid w:val="002A2063"/>
    <w:rsid w:val="00355CC1"/>
    <w:rsid w:val="003B3B2E"/>
    <w:rsid w:val="003F5E33"/>
    <w:rsid w:val="0048432C"/>
    <w:rsid w:val="0048591B"/>
    <w:rsid w:val="005300EF"/>
    <w:rsid w:val="006C5830"/>
    <w:rsid w:val="00731D0D"/>
    <w:rsid w:val="00835C0A"/>
    <w:rsid w:val="00851553"/>
    <w:rsid w:val="008849A8"/>
    <w:rsid w:val="008B6BE9"/>
    <w:rsid w:val="009910FD"/>
    <w:rsid w:val="00A25DA6"/>
    <w:rsid w:val="00A416BB"/>
    <w:rsid w:val="00C41686"/>
    <w:rsid w:val="00C82E06"/>
    <w:rsid w:val="00DE40F5"/>
    <w:rsid w:val="00E10E89"/>
    <w:rsid w:val="00E222E2"/>
    <w:rsid w:val="00E244D3"/>
    <w:rsid w:val="00EF00F1"/>
    <w:rsid w:val="00FD53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0409FD"/>
  <w15:docId w15:val="{91FB173A-385D-4FA1-87DC-C0D804971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19D"/>
    <w:pPr>
      <w:tabs>
        <w:tab w:val="left" w:pos="2528"/>
      </w:tabs>
      <w:spacing w:line="360" w:lineRule="auto"/>
    </w:pPr>
    <w:rPr>
      <w:rFonts w:ascii="Segoe UI" w:eastAsiaTheme="minorHAnsi" w:hAnsi="Segoe UI" w:cs="Segoe UI"/>
      <w:kern w:val="0"/>
      <w:sz w:val="20"/>
      <w:szCs w:val="20"/>
      <w:lang w:val="en-NZ" w:eastAsia="en-US"/>
    </w:rPr>
  </w:style>
  <w:style w:type="paragraph" w:styleId="Heading1">
    <w:name w:val="heading 1"/>
    <w:basedOn w:val="Normal"/>
    <w:next w:val="Normal"/>
    <w:link w:val="Heading1Char"/>
    <w:uiPriority w:val="9"/>
    <w:qFormat/>
    <w:rsid w:val="0014119D"/>
    <w:pPr>
      <w:keepNext/>
      <w:keepLines/>
      <w:spacing w:before="240"/>
      <w:jc w:val="center"/>
      <w:outlineLvl w:val="0"/>
    </w:pPr>
    <w:rPr>
      <w:rFonts w:eastAsiaTheme="majorEastAsia"/>
      <w:b/>
      <w:bCs/>
      <w:color w:val="000000" w:themeColor="text1"/>
      <w:sz w:val="28"/>
      <w:szCs w:val="28"/>
    </w:rPr>
  </w:style>
  <w:style w:type="paragraph" w:styleId="Heading3">
    <w:name w:val="heading 3"/>
    <w:basedOn w:val="Normal"/>
    <w:link w:val="Heading3Char"/>
    <w:uiPriority w:val="9"/>
    <w:qFormat/>
    <w:rsid w:val="00C82E06"/>
    <w:pPr>
      <w:spacing w:before="100" w:beforeAutospacing="1" w:after="100" w:afterAutospacing="1"/>
      <w:outlineLvl w:val="2"/>
    </w:pPr>
    <w:rPr>
      <w:rFonts w:ascii="PMingLiU" w:eastAsia="PMingLiU" w:hAnsi="PMingLiU" w:cs="PMingLiU"/>
      <w:b/>
      <w:bCs/>
      <w:sz w:val="27"/>
      <w:szCs w:val="27"/>
    </w:rPr>
  </w:style>
  <w:style w:type="paragraph" w:styleId="Heading4">
    <w:name w:val="heading 4"/>
    <w:basedOn w:val="Normal"/>
    <w:link w:val="Heading4Char"/>
    <w:uiPriority w:val="9"/>
    <w:qFormat/>
    <w:rsid w:val="00C82E06"/>
    <w:pPr>
      <w:spacing w:before="100" w:beforeAutospacing="1" w:after="100" w:afterAutospacing="1"/>
      <w:outlineLvl w:val="3"/>
    </w:pPr>
    <w:rPr>
      <w:rFonts w:ascii="PMingLiU" w:eastAsia="PMingLiU" w:hAnsi="PMingLiU" w:cs="PMingLiU"/>
      <w:b/>
      <w:bCs/>
      <w:szCs w:val="24"/>
    </w:rPr>
  </w:style>
  <w:style w:type="character" w:default="1" w:styleId="DefaultParagraphFont">
    <w:name w:val="Default Paragraph Font"/>
    <w:uiPriority w:val="1"/>
    <w:unhideWhenUsed/>
    <w:rsid w:val="0014119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4119D"/>
  </w:style>
  <w:style w:type="character" w:styleId="Hyperlink">
    <w:name w:val="Hyperlink"/>
    <w:basedOn w:val="DefaultParagraphFont"/>
    <w:uiPriority w:val="99"/>
    <w:unhideWhenUsed/>
    <w:rsid w:val="0014119D"/>
    <w:rPr>
      <w:color w:val="0000FF" w:themeColor="hyperlink"/>
      <w:u w:val="single"/>
    </w:rPr>
  </w:style>
  <w:style w:type="character" w:styleId="FollowedHyperlink">
    <w:name w:val="FollowedHyperlink"/>
    <w:basedOn w:val="DefaultParagraphFont"/>
    <w:uiPriority w:val="99"/>
    <w:semiHidden/>
    <w:unhideWhenUsed/>
    <w:rsid w:val="00C82E06"/>
    <w:rPr>
      <w:color w:val="800080" w:themeColor="followedHyperlink"/>
      <w:u w:val="single"/>
    </w:rPr>
  </w:style>
  <w:style w:type="character" w:customStyle="1" w:styleId="Heading3Char">
    <w:name w:val="Heading 3 Char"/>
    <w:basedOn w:val="DefaultParagraphFont"/>
    <w:link w:val="Heading3"/>
    <w:uiPriority w:val="9"/>
    <w:rsid w:val="00C82E06"/>
    <w:rPr>
      <w:rFonts w:ascii="PMingLiU" w:eastAsia="PMingLiU" w:hAnsi="PMingLiU" w:cs="PMingLiU"/>
      <w:b/>
      <w:bCs/>
      <w:kern w:val="0"/>
      <w:sz w:val="27"/>
      <w:szCs w:val="27"/>
    </w:rPr>
  </w:style>
  <w:style w:type="character" w:customStyle="1" w:styleId="Heading4Char">
    <w:name w:val="Heading 4 Char"/>
    <w:basedOn w:val="DefaultParagraphFont"/>
    <w:link w:val="Heading4"/>
    <w:uiPriority w:val="9"/>
    <w:rsid w:val="00C82E06"/>
    <w:rPr>
      <w:rFonts w:ascii="PMingLiU" w:eastAsia="PMingLiU" w:hAnsi="PMingLiU" w:cs="PMingLiU"/>
      <w:b/>
      <w:bCs/>
      <w:kern w:val="0"/>
      <w:szCs w:val="24"/>
    </w:rPr>
  </w:style>
  <w:style w:type="character" w:styleId="UnresolvedMention">
    <w:name w:val="Unresolved Mention"/>
    <w:basedOn w:val="DefaultParagraphFont"/>
    <w:uiPriority w:val="99"/>
    <w:semiHidden/>
    <w:unhideWhenUsed/>
    <w:rsid w:val="0014119D"/>
    <w:rPr>
      <w:color w:val="605E5C"/>
      <w:shd w:val="clear" w:color="auto" w:fill="E1DFDD"/>
    </w:rPr>
  </w:style>
  <w:style w:type="paragraph" w:styleId="Header">
    <w:name w:val="header"/>
    <w:basedOn w:val="Normal"/>
    <w:link w:val="HeaderChar"/>
    <w:uiPriority w:val="99"/>
    <w:unhideWhenUsed/>
    <w:rsid w:val="0014119D"/>
    <w:pPr>
      <w:tabs>
        <w:tab w:val="center" w:pos="4513"/>
        <w:tab w:val="right" w:pos="9026"/>
      </w:tabs>
    </w:pPr>
  </w:style>
  <w:style w:type="character" w:customStyle="1" w:styleId="HeaderChar">
    <w:name w:val="Header Char"/>
    <w:basedOn w:val="DefaultParagraphFont"/>
    <w:link w:val="Header"/>
    <w:uiPriority w:val="99"/>
    <w:rsid w:val="0014119D"/>
    <w:rPr>
      <w:rFonts w:ascii="Segoe UI" w:eastAsiaTheme="minorHAnsi" w:hAnsi="Segoe UI" w:cs="Segoe UI"/>
      <w:kern w:val="0"/>
      <w:sz w:val="20"/>
      <w:szCs w:val="20"/>
      <w:lang w:val="en-NZ" w:eastAsia="en-US"/>
    </w:rPr>
  </w:style>
  <w:style w:type="paragraph" w:styleId="Footer">
    <w:name w:val="footer"/>
    <w:basedOn w:val="Normal"/>
    <w:link w:val="FooterChar"/>
    <w:uiPriority w:val="99"/>
    <w:unhideWhenUsed/>
    <w:rsid w:val="0014119D"/>
    <w:pPr>
      <w:tabs>
        <w:tab w:val="center" w:pos="4513"/>
        <w:tab w:val="right" w:pos="9026"/>
      </w:tabs>
    </w:pPr>
  </w:style>
  <w:style w:type="character" w:customStyle="1" w:styleId="FooterChar">
    <w:name w:val="Footer Char"/>
    <w:basedOn w:val="DefaultParagraphFont"/>
    <w:link w:val="Footer"/>
    <w:uiPriority w:val="99"/>
    <w:rsid w:val="0014119D"/>
    <w:rPr>
      <w:rFonts w:ascii="Segoe UI" w:eastAsiaTheme="minorHAnsi" w:hAnsi="Segoe UI" w:cs="Segoe UI"/>
      <w:kern w:val="0"/>
      <w:sz w:val="20"/>
      <w:szCs w:val="20"/>
      <w:lang w:val="en-NZ" w:eastAsia="en-US"/>
    </w:rPr>
  </w:style>
  <w:style w:type="paragraph" w:customStyle="1" w:styleId="PageNumber1">
    <w:name w:val="Page Number1"/>
    <w:basedOn w:val="Normal"/>
    <w:autoRedefine/>
    <w:qFormat/>
    <w:rsid w:val="0014119D"/>
    <w:pPr>
      <w:tabs>
        <w:tab w:val="left" w:pos="6120"/>
      </w:tabs>
      <w:spacing w:line="240" w:lineRule="auto"/>
    </w:pPr>
    <w:rPr>
      <w:sz w:val="16"/>
      <w:szCs w:val="16"/>
    </w:rPr>
  </w:style>
  <w:style w:type="character" w:customStyle="1" w:styleId="ui-provider">
    <w:name w:val="ui-provider"/>
    <w:basedOn w:val="DefaultParagraphFont"/>
    <w:rsid w:val="0014119D"/>
  </w:style>
  <w:style w:type="paragraph" w:styleId="Title">
    <w:name w:val="Title"/>
    <w:basedOn w:val="Normal"/>
    <w:next w:val="Normal"/>
    <w:link w:val="TitleChar"/>
    <w:uiPriority w:val="10"/>
    <w:qFormat/>
    <w:rsid w:val="0014119D"/>
    <w:pPr>
      <w:contextualSpacing/>
      <w:jc w:val="center"/>
    </w:pPr>
    <w:rPr>
      <w:rFonts w:ascii="Segoe UI Black" w:eastAsiaTheme="majorEastAsia" w:hAnsi="Segoe UI Black"/>
      <w:spacing w:val="-10"/>
      <w:kern w:val="28"/>
      <w:sz w:val="48"/>
      <w:szCs w:val="48"/>
    </w:rPr>
  </w:style>
  <w:style w:type="character" w:customStyle="1" w:styleId="TitleChar">
    <w:name w:val="Title Char"/>
    <w:basedOn w:val="DefaultParagraphFont"/>
    <w:link w:val="Title"/>
    <w:uiPriority w:val="10"/>
    <w:rsid w:val="0014119D"/>
    <w:rPr>
      <w:rFonts w:ascii="Segoe UI Black" w:eastAsiaTheme="majorEastAsia" w:hAnsi="Segoe UI Black" w:cs="Segoe UI"/>
      <w:spacing w:val="-10"/>
      <w:kern w:val="28"/>
      <w:sz w:val="48"/>
      <w:szCs w:val="48"/>
      <w:lang w:val="en-NZ" w:eastAsia="en-US"/>
    </w:rPr>
  </w:style>
  <w:style w:type="character" w:customStyle="1" w:styleId="Heading1Char">
    <w:name w:val="Heading 1 Char"/>
    <w:basedOn w:val="DefaultParagraphFont"/>
    <w:link w:val="Heading1"/>
    <w:uiPriority w:val="9"/>
    <w:rsid w:val="0014119D"/>
    <w:rPr>
      <w:rFonts w:ascii="Segoe UI" w:eastAsiaTheme="majorEastAsia" w:hAnsi="Segoe UI" w:cs="Segoe UI"/>
      <w:b/>
      <w:bCs/>
      <w:color w:val="000000" w:themeColor="text1"/>
      <w:kern w:val="0"/>
      <w:sz w:val="28"/>
      <w:szCs w:val="28"/>
      <w:lang w:val="en-NZ" w:eastAsia="en-US"/>
    </w:rPr>
  </w:style>
  <w:style w:type="paragraph" w:styleId="ListParagraph">
    <w:name w:val="List Paragraph"/>
    <w:basedOn w:val="Normal"/>
    <w:uiPriority w:val="34"/>
    <w:qFormat/>
    <w:rsid w:val="0014119D"/>
    <w:pPr>
      <w:numPr>
        <w:numId w:val="5"/>
      </w:numPr>
      <w:tabs>
        <w:tab w:val="center" w:pos="4513"/>
      </w:tabs>
      <w:contextualSpacing/>
    </w:pPr>
  </w:style>
  <w:style w:type="paragraph" w:customStyle="1" w:styleId="paragraph">
    <w:name w:val="paragraph"/>
    <w:basedOn w:val="Footer"/>
    <w:rsid w:val="0014119D"/>
    <w:pPr>
      <w:tabs>
        <w:tab w:val="clear" w:pos="4513"/>
        <w:tab w:val="clear" w:pos="9026"/>
      </w:tabs>
    </w:pPr>
  </w:style>
  <w:style w:type="paragraph" w:customStyle="1" w:styleId="Warrantyprocess">
    <w:name w:val="Warranty process"/>
    <w:basedOn w:val="paragraph"/>
    <w:qFormat/>
    <w:rsid w:val="0014119D"/>
    <w:pPr>
      <w:spacing w:before="120" w:after="120"/>
      <w:jc w:val="center"/>
      <w:textAlignment w:val="baseline"/>
    </w:pPr>
    <w:rPr>
      <w:b/>
      <w:bCs/>
      <w:color w:val="FF0000"/>
      <w:sz w:val="44"/>
      <w:szCs w:val="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48151">
      <w:bodyDiv w:val="1"/>
      <w:marLeft w:val="0"/>
      <w:marRight w:val="0"/>
      <w:marTop w:val="0"/>
      <w:marBottom w:val="0"/>
      <w:divBdr>
        <w:top w:val="none" w:sz="0" w:space="0" w:color="auto"/>
        <w:left w:val="none" w:sz="0" w:space="0" w:color="auto"/>
        <w:bottom w:val="none" w:sz="0" w:space="0" w:color="auto"/>
        <w:right w:val="none" w:sz="0" w:space="0" w:color="auto"/>
      </w:divBdr>
    </w:div>
    <w:div w:id="511913346">
      <w:bodyDiv w:val="1"/>
      <w:marLeft w:val="0"/>
      <w:marRight w:val="0"/>
      <w:marTop w:val="0"/>
      <w:marBottom w:val="0"/>
      <w:divBdr>
        <w:top w:val="none" w:sz="0" w:space="0" w:color="auto"/>
        <w:left w:val="none" w:sz="0" w:space="0" w:color="auto"/>
        <w:bottom w:val="none" w:sz="0" w:space="0" w:color="auto"/>
        <w:right w:val="none" w:sz="0" w:space="0" w:color="auto"/>
      </w:divBdr>
    </w:div>
    <w:div w:id="544683795">
      <w:bodyDiv w:val="1"/>
      <w:marLeft w:val="0"/>
      <w:marRight w:val="0"/>
      <w:marTop w:val="0"/>
      <w:marBottom w:val="0"/>
      <w:divBdr>
        <w:top w:val="none" w:sz="0" w:space="0" w:color="auto"/>
        <w:left w:val="none" w:sz="0" w:space="0" w:color="auto"/>
        <w:bottom w:val="none" w:sz="0" w:space="0" w:color="auto"/>
        <w:right w:val="none" w:sz="0" w:space="0" w:color="auto"/>
      </w:divBdr>
      <w:divsChild>
        <w:div w:id="269701129">
          <w:marLeft w:val="0"/>
          <w:marRight w:val="0"/>
          <w:marTop w:val="0"/>
          <w:marBottom w:val="0"/>
          <w:divBdr>
            <w:top w:val="none" w:sz="0" w:space="0" w:color="auto"/>
            <w:left w:val="none" w:sz="0" w:space="0" w:color="auto"/>
            <w:bottom w:val="none" w:sz="0" w:space="0" w:color="auto"/>
            <w:right w:val="none" w:sz="0" w:space="0" w:color="auto"/>
          </w:divBdr>
        </w:div>
        <w:div w:id="702633016">
          <w:marLeft w:val="0"/>
          <w:marRight w:val="0"/>
          <w:marTop w:val="0"/>
          <w:marBottom w:val="0"/>
          <w:divBdr>
            <w:top w:val="none" w:sz="0" w:space="0" w:color="auto"/>
            <w:left w:val="none" w:sz="0" w:space="0" w:color="auto"/>
            <w:bottom w:val="none" w:sz="0" w:space="0" w:color="auto"/>
            <w:right w:val="none" w:sz="0" w:space="0" w:color="auto"/>
          </w:divBdr>
        </w:div>
        <w:div w:id="276572799">
          <w:marLeft w:val="0"/>
          <w:marRight w:val="0"/>
          <w:marTop w:val="0"/>
          <w:marBottom w:val="0"/>
          <w:divBdr>
            <w:top w:val="none" w:sz="0" w:space="0" w:color="auto"/>
            <w:left w:val="none" w:sz="0" w:space="0" w:color="auto"/>
            <w:bottom w:val="none" w:sz="0" w:space="0" w:color="auto"/>
            <w:right w:val="none" w:sz="0" w:space="0" w:color="auto"/>
          </w:divBdr>
        </w:div>
        <w:div w:id="49353833">
          <w:marLeft w:val="0"/>
          <w:marRight w:val="0"/>
          <w:marTop w:val="0"/>
          <w:marBottom w:val="0"/>
          <w:divBdr>
            <w:top w:val="none" w:sz="0" w:space="0" w:color="auto"/>
            <w:left w:val="none" w:sz="0" w:space="0" w:color="auto"/>
            <w:bottom w:val="none" w:sz="0" w:space="0" w:color="auto"/>
            <w:right w:val="none" w:sz="0" w:space="0" w:color="auto"/>
          </w:divBdr>
        </w:div>
      </w:divsChild>
    </w:div>
    <w:div w:id="637341231">
      <w:bodyDiv w:val="1"/>
      <w:marLeft w:val="0"/>
      <w:marRight w:val="0"/>
      <w:marTop w:val="0"/>
      <w:marBottom w:val="0"/>
      <w:divBdr>
        <w:top w:val="none" w:sz="0" w:space="0" w:color="auto"/>
        <w:left w:val="none" w:sz="0" w:space="0" w:color="auto"/>
        <w:bottom w:val="none" w:sz="0" w:space="0" w:color="auto"/>
        <w:right w:val="none" w:sz="0" w:space="0" w:color="auto"/>
      </w:divBdr>
    </w:div>
    <w:div w:id="701051748">
      <w:bodyDiv w:val="1"/>
      <w:marLeft w:val="0"/>
      <w:marRight w:val="0"/>
      <w:marTop w:val="0"/>
      <w:marBottom w:val="0"/>
      <w:divBdr>
        <w:top w:val="none" w:sz="0" w:space="0" w:color="auto"/>
        <w:left w:val="none" w:sz="0" w:space="0" w:color="auto"/>
        <w:bottom w:val="none" w:sz="0" w:space="0" w:color="auto"/>
        <w:right w:val="none" w:sz="0" w:space="0" w:color="auto"/>
      </w:divBdr>
    </w:div>
    <w:div w:id="1889102186">
      <w:bodyDiv w:val="1"/>
      <w:marLeft w:val="0"/>
      <w:marRight w:val="0"/>
      <w:marTop w:val="0"/>
      <w:marBottom w:val="0"/>
      <w:divBdr>
        <w:top w:val="none" w:sz="0" w:space="0" w:color="auto"/>
        <w:left w:val="none" w:sz="0" w:space="0" w:color="auto"/>
        <w:bottom w:val="none" w:sz="0" w:space="0" w:color="auto"/>
        <w:right w:val="none" w:sz="0" w:space="0" w:color="auto"/>
      </w:divBdr>
    </w:div>
    <w:div w:id="1979189550">
      <w:bodyDiv w:val="1"/>
      <w:marLeft w:val="0"/>
      <w:marRight w:val="0"/>
      <w:marTop w:val="0"/>
      <w:marBottom w:val="0"/>
      <w:divBdr>
        <w:top w:val="none" w:sz="0" w:space="0" w:color="auto"/>
        <w:left w:val="none" w:sz="0" w:space="0" w:color="auto"/>
        <w:bottom w:val="none" w:sz="0" w:space="0" w:color="auto"/>
        <w:right w:val="none" w:sz="0" w:space="0" w:color="auto"/>
      </w:divBdr>
    </w:div>
    <w:div w:id="198007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turns.authorities@dickerdata.co.nz"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ilicon-power.com/web/us/FAQ"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ilicon-power.com/support/lang/utf8/Warranty_Policy.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ilicon-power.com/web/us/compatibility" TargetMode="External"/><Relationship Id="rId5" Type="http://schemas.openxmlformats.org/officeDocument/2006/relationships/styles" Target="styles.xml"/><Relationship Id="rId15" Type="http://schemas.openxmlformats.org/officeDocument/2006/relationships/hyperlink" Target="https://www.silicon-power.com/support/lang/utf8/Warranty_Policy.pdf" TargetMode="External"/><Relationship Id="rId10" Type="http://schemas.openxmlformats.org/officeDocument/2006/relationships/hyperlink" Target="https://www.silicon-power.com/web/us/softwar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ervice@silicon-power.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returns.authorities@dickerdata.co,nz"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BA4DA9E4E87A479A9954F037F21886" ma:contentTypeVersion="17" ma:contentTypeDescription="Create a new document." ma:contentTypeScope="" ma:versionID="bfd2749a754f46df93312af36f675767">
  <xsd:schema xmlns:xsd="http://www.w3.org/2001/XMLSchema" xmlns:xs="http://www.w3.org/2001/XMLSchema" xmlns:p="http://schemas.microsoft.com/office/2006/metadata/properties" xmlns:ns2="b9e8ec03-380c-489a-b7ea-53024d56db85" xmlns:ns3="af67fe0c-8057-4400-a4d7-40672277050e" targetNamespace="http://schemas.microsoft.com/office/2006/metadata/properties" ma:root="true" ma:fieldsID="b913ccdf315dc7683f01033242c5c46e" ns2:_="" ns3:_="">
    <xsd:import namespace="b9e8ec03-380c-489a-b7ea-53024d56db85"/>
    <xsd:import namespace="af67fe0c-8057-4400-a4d7-4067227705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8ec03-380c-489a-b7ea-53024d56db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28fa2c3-b102-4787-8df5-b23ef8e8fe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67fe0c-8057-4400-a4d7-40672277050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84dbb04-065c-4b0f-8203-f4c8b0f13d76}" ma:internalName="TaxCatchAll" ma:showField="CatchAllData" ma:web="af67fe0c-8057-4400-a4d7-4067227705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f67fe0c-8057-4400-a4d7-40672277050e" xsi:nil="true"/>
    <lcf76f155ced4ddcb4097134ff3c332f xmlns="b9e8ec03-380c-489a-b7ea-53024d56db8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50884D-F63A-4DE1-8741-835D78644FD6}">
  <ds:schemaRefs>
    <ds:schemaRef ds:uri="http://schemas.microsoft.com/sharepoint/v3/contenttype/forms"/>
  </ds:schemaRefs>
</ds:datastoreItem>
</file>

<file path=customXml/itemProps2.xml><?xml version="1.0" encoding="utf-8"?>
<ds:datastoreItem xmlns:ds="http://schemas.openxmlformats.org/officeDocument/2006/customXml" ds:itemID="{514F0D81-89A8-49D7-8A55-1A331BA1DDE4}"/>
</file>

<file path=customXml/itemProps3.xml><?xml version="1.0" encoding="utf-8"?>
<ds:datastoreItem xmlns:ds="http://schemas.openxmlformats.org/officeDocument/2006/customXml" ds:itemID="{77F03012-2C13-4251-9299-00F2514D2C15}">
  <ds:schemaRefs>
    <ds:schemaRef ds:uri="http://schemas.microsoft.com/office/2006/metadata/properties"/>
    <ds:schemaRef ds:uri="http://schemas.microsoft.com/office/infopath/2007/PartnerControls"/>
    <ds:schemaRef ds:uri="af88ca6a-da91-43da-8c38-5a1f580c83b0"/>
    <ds:schemaRef ds:uri="eba8c5e4-171a-4f73-b62a-b91902bad72b"/>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755</Words>
  <Characters>4307</Characters>
  <Application>Microsoft Office Word</Application>
  <DocSecurity>0</DocSecurity>
  <Lines>35</Lines>
  <Paragraphs>10</Paragraphs>
  <ScaleCrop>false</ScaleCrop>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林家豪</dc:creator>
  <cp:lastModifiedBy>Louis Ng</cp:lastModifiedBy>
  <cp:revision>16</cp:revision>
  <dcterms:created xsi:type="dcterms:W3CDTF">2023-08-14T03:16:00Z</dcterms:created>
  <dcterms:modified xsi:type="dcterms:W3CDTF">2023-08-14T03:35:00Z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0x01010045BA4DA9E4E87A479A9954F037F21886</vt:lpwstr>
  </property>
  <property fmtid="{D5CDD505-2E9C-101B-9397-08002B2CF9AE}" pid="3" name="MediaServiceImageTags">
    <vt:lpwstr/>
  </property>
</Properties>
</file>