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E850" w14:textId="5B663DA4" w:rsidR="009738FA" w:rsidRPr="00F52CC3" w:rsidRDefault="00AF2619" w:rsidP="007D7633">
      <w:pPr>
        <w:pStyle w:val="Title"/>
      </w:pPr>
      <w:r>
        <w:t>Microsoft Surface</w:t>
      </w:r>
      <w:r w:rsidR="009738FA" w:rsidRPr="00F52CC3">
        <w:t xml:space="preserve"> W</w:t>
      </w:r>
      <w:r w:rsidR="00792378" w:rsidRPr="00F52CC3">
        <w:t>arranty</w:t>
      </w:r>
      <w:r w:rsidR="009738FA" w:rsidRPr="00F52CC3">
        <w:t xml:space="preserve"> P</w:t>
      </w:r>
      <w:r w:rsidR="00792378" w:rsidRPr="00F52CC3">
        <w:t>rocess</w:t>
      </w:r>
      <w:r w:rsidR="009738FA" w:rsidRPr="00F52CC3">
        <w:t> NZ</w:t>
      </w:r>
    </w:p>
    <w:p w14:paraId="24C93E2B" w14:textId="2001DA42" w:rsidR="00C74137" w:rsidRDefault="00817A45" w:rsidP="00C74137">
      <w:r>
        <w:t>If the device is Dead on Arrival (DOA)</w:t>
      </w:r>
      <w:r w:rsidR="00501306">
        <w:t xml:space="preserve"> or if the accessories are faulty</w:t>
      </w:r>
      <w:r>
        <w:t>, d</w:t>
      </w:r>
      <w:r w:rsidR="00C74137">
        <w:t xml:space="preserve">ownload and complete the Dicker Data RMA form and send it to </w:t>
      </w:r>
      <w:r w:rsidR="00C74137" w:rsidRPr="00160C41">
        <w:rPr>
          <w:b/>
          <w:bCs/>
        </w:rPr>
        <w:t>Returns.Authorities@dickerdata.co.nz</w:t>
      </w:r>
      <w:r w:rsidR="00C74137">
        <w:t xml:space="preserve"> within </w:t>
      </w:r>
      <w:r w:rsidR="00160C41">
        <w:t>30</w:t>
      </w:r>
      <w:r w:rsidR="00C74137">
        <w:t xml:space="preserve"> days of invoice</w:t>
      </w:r>
      <w:r w:rsidR="003C0FF5">
        <w:t xml:space="preserve"> </w:t>
      </w:r>
      <w:r w:rsidR="008737B4">
        <w:t xml:space="preserve">to be eligible for </w:t>
      </w:r>
      <w:r w:rsidR="00160C41">
        <w:t xml:space="preserve">Dead on Arrival </w:t>
      </w:r>
      <w:r w:rsidR="008737B4">
        <w:t>(DOA) warranty process</w:t>
      </w:r>
      <w:r w:rsidR="00DE0309">
        <w:t>,</w:t>
      </w:r>
      <w:r>
        <w:t xml:space="preserve"> including forward replacement of the device.</w:t>
      </w:r>
    </w:p>
    <w:p w14:paraId="7405F8F5" w14:textId="77777777" w:rsidR="00FC32E6" w:rsidRDefault="00FC32E6" w:rsidP="00C74137"/>
    <w:p w14:paraId="10D21786" w14:textId="5CCE5E56" w:rsidR="00C74137" w:rsidRDefault="00C74137" w:rsidP="00C74137">
      <w:r>
        <w:t xml:space="preserve">If the return is outside of the </w:t>
      </w:r>
      <w:r w:rsidR="00817A45">
        <w:t>30-day</w:t>
      </w:r>
      <w:r w:rsidR="008737B4">
        <w:t xml:space="preserve"> DOA period, </w:t>
      </w:r>
      <w:r>
        <w:t>resellers need to submit a support case directly with Microsoft online</w:t>
      </w:r>
      <w:r w:rsidR="008737B4">
        <w:t>:</w:t>
      </w:r>
    </w:p>
    <w:p w14:paraId="503DDD4D" w14:textId="6758F1F0" w:rsidR="00C74137" w:rsidRDefault="00000000" w:rsidP="00C74137">
      <w:hyperlink r:id="rId11" w:history="1">
        <w:r w:rsidR="00C74137" w:rsidRPr="00C47AFF">
          <w:rPr>
            <w:rStyle w:val="Hyperlink"/>
          </w:rPr>
          <w:t>https://support.serviceshub.microsoft.com/supportforbusiness/onboarding?origin=/supportforbusiness/create</w:t>
        </w:r>
      </w:hyperlink>
    </w:p>
    <w:p w14:paraId="6E9D2DB7" w14:textId="77777777" w:rsidR="00EA187D" w:rsidRDefault="00EA187D" w:rsidP="00C74137"/>
    <w:p w14:paraId="106CD9FE" w14:textId="77777777" w:rsidR="00EA187D" w:rsidRPr="00A54F7D" w:rsidRDefault="00EA187D" w:rsidP="00EA187D">
      <w:pPr>
        <w:rPr>
          <w:b/>
          <w:bCs/>
        </w:rPr>
      </w:pPr>
      <w:r w:rsidRPr="00A54F7D">
        <w:rPr>
          <w:b/>
          <w:bCs/>
        </w:rPr>
        <w:t>Warranty Claims:</w:t>
      </w:r>
    </w:p>
    <w:p w14:paraId="2CCABFD9" w14:textId="2966E265" w:rsidR="00EA187D" w:rsidRDefault="008737B4" w:rsidP="00EA187D">
      <w:r>
        <w:t>Sub</w:t>
      </w:r>
      <w:r w:rsidR="00EA187D">
        <w:t xml:space="preserve">mit </w:t>
      </w:r>
      <w:r>
        <w:t>a claim</w:t>
      </w:r>
      <w:r w:rsidR="00EA187D">
        <w:t xml:space="preserve"> via the Surface Management Portal</w:t>
      </w:r>
    </w:p>
    <w:p w14:paraId="6E46B1BA" w14:textId="397098DF" w:rsidR="00974AE3" w:rsidRDefault="00974AE3" w:rsidP="00EA187D">
      <w:r>
        <w:rPr>
          <w:color w:val="161616"/>
          <w:shd w:val="clear" w:color="auto" w:fill="FFFFFF"/>
        </w:rPr>
        <w:t>To access Surface Management Portal, sign in to the </w:t>
      </w:r>
      <w:hyperlink r:id="rId12" w:history="1">
        <w:r>
          <w:rPr>
            <w:rStyle w:val="Hyperlink"/>
            <w:shd w:val="clear" w:color="auto" w:fill="FFFFFF"/>
          </w:rPr>
          <w:t xml:space="preserve">admin </w:t>
        </w:r>
        <w:proofErr w:type="spellStart"/>
        <w:r>
          <w:rPr>
            <w:rStyle w:val="Hyperlink"/>
            <w:shd w:val="clear" w:color="auto" w:fill="FFFFFF"/>
          </w:rPr>
          <w:t>center</w:t>
        </w:r>
        <w:proofErr w:type="spellEnd"/>
      </w:hyperlink>
      <w:r>
        <w:rPr>
          <w:color w:val="161616"/>
          <w:shd w:val="clear" w:color="auto" w:fill="FFFFFF"/>
        </w:rPr>
        <w:t> and go to </w:t>
      </w:r>
      <w:r>
        <w:rPr>
          <w:rStyle w:val="Strong"/>
          <w:color w:val="161616"/>
          <w:shd w:val="clear" w:color="auto" w:fill="FFFFFF"/>
        </w:rPr>
        <w:t>All services</w:t>
      </w:r>
      <w:r>
        <w:rPr>
          <w:color w:val="161616"/>
          <w:shd w:val="clear" w:color="auto" w:fill="FFFFFF"/>
        </w:rPr>
        <w:t> &gt; </w:t>
      </w:r>
      <w:r>
        <w:rPr>
          <w:rStyle w:val="Strong"/>
          <w:color w:val="161616"/>
          <w:shd w:val="clear" w:color="auto" w:fill="FFFFFF"/>
        </w:rPr>
        <w:t>Surface Management Portal</w:t>
      </w:r>
      <w:r>
        <w:rPr>
          <w:color w:val="161616"/>
          <w:shd w:val="clear" w:color="auto" w:fill="FFFFFF"/>
        </w:rPr>
        <w:t>.</w:t>
      </w:r>
    </w:p>
    <w:p w14:paraId="2C838EB9" w14:textId="132E8222" w:rsidR="00C74137" w:rsidRDefault="00C74137" w:rsidP="00C74137">
      <w:r>
        <w:t xml:space="preserve">If the customer has purchased an EHS+ NBD Warranty, they also </w:t>
      </w:r>
      <w:r w:rsidR="00D921E1">
        <w:t>need</w:t>
      </w:r>
      <w:r>
        <w:t xml:space="preserve"> to contact M</w:t>
      </w:r>
      <w:r w:rsidR="0041594D">
        <w:t>icrosoft</w:t>
      </w:r>
      <w:r>
        <w:t xml:space="preserve"> direct</w:t>
      </w:r>
      <w:r w:rsidR="0041594D">
        <w:t>ly</w:t>
      </w:r>
      <w:r>
        <w:t xml:space="preserve"> to </w:t>
      </w:r>
      <w:r w:rsidR="0023198F">
        <w:t>arrange</w:t>
      </w:r>
      <w:r>
        <w:t xml:space="preserve"> a replacement</w:t>
      </w:r>
      <w:r w:rsidR="0023198F">
        <w:t xml:space="preserve"> device</w:t>
      </w:r>
      <w:r w:rsidR="001A6977">
        <w:t>.</w:t>
      </w:r>
    </w:p>
    <w:p w14:paraId="703FFA59" w14:textId="77777777" w:rsidR="001F3CEB" w:rsidRDefault="001F3CEB" w:rsidP="00C74137"/>
    <w:p w14:paraId="4AA4F155" w14:textId="6B67F586" w:rsidR="001F3CEB" w:rsidRPr="001A6977" w:rsidRDefault="001F3CEB" w:rsidP="00C74137">
      <w:pPr>
        <w:rPr>
          <w:b/>
          <w:bCs/>
        </w:rPr>
      </w:pPr>
      <w:r w:rsidRPr="001A6977">
        <w:rPr>
          <w:b/>
          <w:bCs/>
        </w:rPr>
        <w:t xml:space="preserve">How does a </w:t>
      </w:r>
      <w:r w:rsidR="00A47946" w:rsidRPr="001A6977">
        <w:rPr>
          <w:b/>
          <w:bCs/>
        </w:rPr>
        <w:t>customer</w:t>
      </w:r>
      <w:r w:rsidRPr="001A6977">
        <w:rPr>
          <w:b/>
          <w:bCs/>
        </w:rPr>
        <w:t xml:space="preserve"> raise </w:t>
      </w:r>
      <w:proofErr w:type="gramStart"/>
      <w:r w:rsidRPr="001A6977">
        <w:rPr>
          <w:b/>
          <w:bCs/>
        </w:rPr>
        <w:t>a</w:t>
      </w:r>
      <w:proofErr w:type="gramEnd"/>
      <w:r w:rsidRPr="001A6977">
        <w:rPr>
          <w:b/>
          <w:bCs/>
        </w:rPr>
        <w:t xml:space="preserve"> NBD Service Request with Microsoft? </w:t>
      </w:r>
    </w:p>
    <w:p w14:paraId="4E072932" w14:textId="3D5B40A0" w:rsidR="00C74137" w:rsidRDefault="00037092" w:rsidP="00C74137">
      <w:r>
        <w:rPr>
          <w:rStyle w:val="ui-provider"/>
        </w:rPr>
        <w:t xml:space="preserve">All NBD requests need to be </w:t>
      </w:r>
      <w:hyperlink r:id="rId13" w:history="1">
        <w:r w:rsidRPr="005F0262">
          <w:rPr>
            <w:rStyle w:val="Hyperlink"/>
          </w:rPr>
          <w:t xml:space="preserve">logged online with </w:t>
        </w:r>
        <w:r w:rsidR="00050420" w:rsidRPr="005F0262">
          <w:rPr>
            <w:rStyle w:val="Hyperlink"/>
          </w:rPr>
          <w:t>Microsoft</w:t>
        </w:r>
      </w:hyperlink>
      <w:r w:rsidR="001F3CEB">
        <w:t xml:space="preserve"> so that </w:t>
      </w:r>
      <w:r w:rsidR="00050420">
        <w:t>their</w:t>
      </w:r>
      <w:r w:rsidR="001F3CEB">
        <w:t xml:space="preserve"> technical support team can determine if the customer’s device issue would be best resolved with a replacement device. Once the determination is made to replace the device, the agent will submit the shipping request. If the shipping request is sent by the designated local time, the replacement unit will arrive the next business day.</w:t>
      </w:r>
    </w:p>
    <w:p w14:paraId="164FB61C" w14:textId="77777777" w:rsidR="001F3CEB" w:rsidRDefault="001F3CEB" w:rsidP="00C74137"/>
    <w:p w14:paraId="2BD4F4DC" w14:textId="77777777" w:rsidR="008B6829" w:rsidRPr="008B6829" w:rsidRDefault="008B6829" w:rsidP="008B6829">
      <w:pPr>
        <w:tabs>
          <w:tab w:val="clear" w:pos="2528"/>
          <w:tab w:val="left" w:pos="1843"/>
        </w:tabs>
        <w:rPr>
          <w:b/>
          <w:bCs/>
        </w:rPr>
      </w:pPr>
      <w:r w:rsidRPr="008B6829">
        <w:rPr>
          <w:b/>
          <w:bCs/>
        </w:rPr>
        <w:t>Country</w:t>
      </w:r>
      <w:r w:rsidRPr="008B6829">
        <w:rPr>
          <w:b/>
          <w:bCs/>
        </w:rPr>
        <w:tab/>
        <w:t xml:space="preserve">Local Time (Cut Off) </w:t>
      </w:r>
    </w:p>
    <w:p w14:paraId="5F809A2F" w14:textId="09EED76F" w:rsidR="008B6829" w:rsidRDefault="008B6829" w:rsidP="008B6829">
      <w:pPr>
        <w:tabs>
          <w:tab w:val="clear" w:pos="2528"/>
          <w:tab w:val="left" w:pos="1843"/>
        </w:tabs>
      </w:pPr>
      <w:r>
        <w:t xml:space="preserve">New Zealand </w:t>
      </w:r>
      <w:r>
        <w:tab/>
        <w:t>2:00pm NZST</w:t>
      </w:r>
    </w:p>
    <w:p w14:paraId="2C053224" w14:textId="77777777" w:rsidR="008737B4" w:rsidRDefault="008737B4" w:rsidP="00C74137"/>
    <w:p w14:paraId="30332EF7" w14:textId="4F6D37DE" w:rsidR="009738FA" w:rsidRDefault="008737B4" w:rsidP="00C74137">
      <w:r>
        <w:t>C</w:t>
      </w:r>
      <w:r w:rsidR="00EC13E9">
        <w:t xml:space="preserve">ustomers can log a service request via: </w:t>
      </w:r>
      <w:hyperlink r:id="rId14" w:history="1">
        <w:r w:rsidR="00EC13E9" w:rsidRPr="008737B4">
          <w:rPr>
            <w:rStyle w:val="Hyperlink"/>
          </w:rPr>
          <w:t>Support for Business portal</w:t>
        </w:r>
      </w:hyperlink>
      <w:r w:rsidR="00EC13E9" w:rsidRPr="0054356A">
        <w:t xml:space="preserve"> or Premier/Unified Services Hub. When an agent has confirmed that a replacement is required (ruled out software issues) the agent will submit a shipping request and the Customer will receive a replacement the following business day. Customers are encouraged to deploy the Surface Diagnostic Toolkit and s</w:t>
      </w:r>
      <w:r w:rsidR="00EC13E9">
        <w:t>ubmit the report to Microsoft to help confirm the hardware issue.</w:t>
      </w:r>
    </w:p>
    <w:p w14:paraId="65162195" w14:textId="77777777" w:rsidR="00FC32E6" w:rsidRDefault="00FC32E6" w:rsidP="00C74137"/>
    <w:p w14:paraId="536BCDCD" w14:textId="77777777" w:rsidR="00692232" w:rsidRDefault="00692232" w:rsidP="00692232">
      <w:pPr>
        <w:pStyle w:val="Heading1"/>
        <w:shd w:val="clear" w:color="auto" w:fill="FFFFFF"/>
        <w:spacing w:before="0"/>
        <w:rPr>
          <w:color w:val="161616"/>
        </w:rPr>
      </w:pPr>
      <w:r>
        <w:rPr>
          <w:color w:val="161616"/>
        </w:rPr>
        <w:t>What is Microsoft Surface Management Portal?</w:t>
      </w:r>
    </w:p>
    <w:p w14:paraId="04A65D36" w14:textId="3BD68B7D" w:rsidR="003505F7" w:rsidRPr="003505F7" w:rsidRDefault="003505F7" w:rsidP="003505F7">
      <w:pPr>
        <w:shd w:val="clear" w:color="auto" w:fill="FFFFFF"/>
        <w:tabs>
          <w:tab w:val="clear" w:pos="2528"/>
        </w:tabs>
        <w:spacing w:before="100" w:beforeAutospacing="1" w:after="100" w:afterAutospacing="1" w:line="240" w:lineRule="auto"/>
        <w:rPr>
          <w:rFonts w:eastAsia="Times New Roman"/>
          <w:color w:val="161616"/>
          <w:lang w:eastAsia="en-NZ"/>
        </w:rPr>
      </w:pPr>
      <w:r w:rsidRPr="003505F7">
        <w:rPr>
          <w:rFonts w:eastAsia="Times New Roman"/>
          <w:color w:val="161616"/>
          <w:lang w:eastAsia="en-NZ"/>
        </w:rPr>
        <w:t>Microsoft Surface Management Portal is a centrali</w:t>
      </w:r>
      <w:r w:rsidR="0005418E">
        <w:rPr>
          <w:rFonts w:eastAsia="Times New Roman"/>
          <w:color w:val="161616"/>
          <w:lang w:eastAsia="en-NZ"/>
        </w:rPr>
        <w:t>s</w:t>
      </w:r>
      <w:r w:rsidRPr="003505F7">
        <w:rPr>
          <w:rFonts w:eastAsia="Times New Roman"/>
          <w:color w:val="161616"/>
          <w:lang w:eastAsia="en-NZ"/>
        </w:rPr>
        <w:t xml:space="preserve">ed place in the Microsoft Intune admin </w:t>
      </w:r>
      <w:proofErr w:type="spellStart"/>
      <w:r w:rsidRPr="003505F7">
        <w:rPr>
          <w:rFonts w:eastAsia="Times New Roman"/>
          <w:color w:val="161616"/>
          <w:lang w:eastAsia="en-NZ"/>
        </w:rPr>
        <w:t>center</w:t>
      </w:r>
      <w:proofErr w:type="spellEnd"/>
      <w:r w:rsidRPr="003505F7">
        <w:rPr>
          <w:rFonts w:eastAsia="Times New Roman"/>
          <w:color w:val="161616"/>
          <w:lang w:eastAsia="en-NZ"/>
        </w:rPr>
        <w:t xml:space="preserve"> where you can self-serve, manage, and monitor your organi</w:t>
      </w:r>
      <w:r w:rsidR="0005418E">
        <w:rPr>
          <w:rFonts w:eastAsia="Times New Roman"/>
          <w:color w:val="161616"/>
          <w:lang w:eastAsia="en-NZ"/>
        </w:rPr>
        <w:t>s</w:t>
      </w:r>
      <w:r w:rsidRPr="003505F7">
        <w:rPr>
          <w:rFonts w:eastAsia="Times New Roman"/>
          <w:color w:val="161616"/>
          <w:lang w:eastAsia="en-NZ"/>
        </w:rPr>
        <w:t>ation's Intune-managed Surface devices at scale.</w:t>
      </w:r>
    </w:p>
    <w:p w14:paraId="7D5284CE" w14:textId="380AEC17" w:rsidR="003505F7" w:rsidRPr="003505F7" w:rsidRDefault="003505F7" w:rsidP="003505F7">
      <w:pPr>
        <w:shd w:val="clear" w:color="auto" w:fill="FFFFFF"/>
        <w:tabs>
          <w:tab w:val="clear" w:pos="2528"/>
        </w:tabs>
        <w:spacing w:before="100" w:beforeAutospacing="1" w:after="100" w:afterAutospacing="1" w:line="240" w:lineRule="auto"/>
        <w:rPr>
          <w:rFonts w:eastAsia="Times New Roman"/>
          <w:color w:val="161616"/>
          <w:lang w:eastAsia="en-NZ"/>
        </w:rPr>
      </w:pPr>
      <w:r w:rsidRPr="003505F7">
        <w:rPr>
          <w:rFonts w:eastAsia="Times New Roman"/>
          <w:color w:val="161616"/>
          <w:lang w:eastAsia="en-NZ"/>
        </w:rPr>
        <w:t>Surface Management Portal offers insights about the enrolled Surface devices in your organi</w:t>
      </w:r>
      <w:r w:rsidR="0005418E">
        <w:rPr>
          <w:rFonts w:eastAsia="Times New Roman"/>
          <w:color w:val="161616"/>
          <w:lang w:eastAsia="en-NZ"/>
        </w:rPr>
        <w:t>s</w:t>
      </w:r>
      <w:r w:rsidRPr="003505F7">
        <w:rPr>
          <w:rFonts w:eastAsia="Times New Roman"/>
          <w:color w:val="161616"/>
          <w:lang w:eastAsia="en-NZ"/>
        </w:rPr>
        <w:t>ation, such as warranty eligibility and open support requests. Use it to:</w:t>
      </w:r>
    </w:p>
    <w:p w14:paraId="61BDC8C5" w14:textId="3551AD45" w:rsidR="003505F7" w:rsidRPr="003505F7" w:rsidRDefault="003505F7" w:rsidP="003505F7">
      <w:pPr>
        <w:numPr>
          <w:ilvl w:val="0"/>
          <w:numId w:val="11"/>
        </w:numPr>
        <w:shd w:val="clear" w:color="auto" w:fill="FFFFFF"/>
        <w:tabs>
          <w:tab w:val="clear" w:pos="2528"/>
        </w:tabs>
        <w:spacing w:line="240" w:lineRule="auto"/>
        <w:ind w:left="1290"/>
        <w:rPr>
          <w:rFonts w:eastAsia="Times New Roman"/>
          <w:color w:val="161616"/>
          <w:lang w:eastAsia="en-NZ"/>
        </w:rPr>
      </w:pPr>
      <w:r w:rsidRPr="003505F7">
        <w:rPr>
          <w:rFonts w:eastAsia="Times New Roman"/>
          <w:color w:val="161616"/>
          <w:lang w:eastAsia="en-NZ"/>
        </w:rPr>
        <w:t>See all enrolled Surface devices in your organi</w:t>
      </w:r>
      <w:r w:rsidR="00485435">
        <w:rPr>
          <w:rFonts w:eastAsia="Times New Roman"/>
          <w:color w:val="161616"/>
          <w:lang w:eastAsia="en-NZ"/>
        </w:rPr>
        <w:t>s</w:t>
      </w:r>
      <w:r w:rsidRPr="003505F7">
        <w:rPr>
          <w:rFonts w:eastAsia="Times New Roman"/>
          <w:color w:val="161616"/>
          <w:lang w:eastAsia="en-NZ"/>
        </w:rPr>
        <w:t>ation.</w:t>
      </w:r>
    </w:p>
    <w:p w14:paraId="48CC2A2C" w14:textId="77777777" w:rsidR="003505F7" w:rsidRPr="003505F7" w:rsidRDefault="003505F7" w:rsidP="003505F7">
      <w:pPr>
        <w:numPr>
          <w:ilvl w:val="0"/>
          <w:numId w:val="11"/>
        </w:numPr>
        <w:shd w:val="clear" w:color="auto" w:fill="FFFFFF"/>
        <w:tabs>
          <w:tab w:val="clear" w:pos="2528"/>
        </w:tabs>
        <w:spacing w:line="240" w:lineRule="auto"/>
        <w:ind w:left="1290"/>
        <w:rPr>
          <w:rFonts w:eastAsia="Times New Roman"/>
          <w:color w:val="161616"/>
          <w:lang w:eastAsia="en-NZ"/>
        </w:rPr>
      </w:pPr>
      <w:r w:rsidRPr="003505F7">
        <w:rPr>
          <w:rFonts w:eastAsia="Times New Roman"/>
          <w:color w:val="161616"/>
          <w:lang w:eastAsia="en-NZ"/>
        </w:rPr>
        <w:t>Drill down into reports, support requests, and individual devices.</w:t>
      </w:r>
    </w:p>
    <w:p w14:paraId="5B7AB672" w14:textId="77777777" w:rsidR="003505F7" w:rsidRPr="003505F7" w:rsidRDefault="003505F7" w:rsidP="003505F7">
      <w:pPr>
        <w:numPr>
          <w:ilvl w:val="0"/>
          <w:numId w:val="11"/>
        </w:numPr>
        <w:shd w:val="clear" w:color="auto" w:fill="FFFFFF"/>
        <w:tabs>
          <w:tab w:val="clear" w:pos="2528"/>
        </w:tabs>
        <w:spacing w:line="240" w:lineRule="auto"/>
        <w:ind w:left="1290"/>
        <w:rPr>
          <w:rFonts w:eastAsia="Times New Roman"/>
          <w:color w:val="161616"/>
          <w:lang w:eastAsia="en-NZ"/>
        </w:rPr>
      </w:pPr>
      <w:r w:rsidRPr="003505F7">
        <w:rPr>
          <w:rFonts w:eastAsia="Times New Roman"/>
          <w:color w:val="161616"/>
          <w:lang w:eastAsia="en-NZ"/>
        </w:rPr>
        <w:t>View warranty data and expiration dates.</w:t>
      </w:r>
    </w:p>
    <w:p w14:paraId="0DB612CD" w14:textId="77777777" w:rsidR="003505F7" w:rsidRPr="003505F7" w:rsidRDefault="003505F7" w:rsidP="003505F7">
      <w:pPr>
        <w:numPr>
          <w:ilvl w:val="0"/>
          <w:numId w:val="11"/>
        </w:numPr>
        <w:shd w:val="clear" w:color="auto" w:fill="FFFFFF"/>
        <w:tabs>
          <w:tab w:val="clear" w:pos="2528"/>
        </w:tabs>
        <w:spacing w:line="240" w:lineRule="auto"/>
        <w:ind w:left="1290"/>
        <w:rPr>
          <w:rFonts w:eastAsia="Times New Roman"/>
          <w:color w:val="161616"/>
          <w:lang w:eastAsia="en-NZ"/>
        </w:rPr>
      </w:pPr>
      <w:r w:rsidRPr="003505F7">
        <w:rPr>
          <w:rFonts w:eastAsia="Times New Roman"/>
          <w:color w:val="161616"/>
          <w:lang w:eastAsia="en-NZ"/>
        </w:rPr>
        <w:t>Track warranty and support requests.</w:t>
      </w:r>
    </w:p>
    <w:p w14:paraId="1CFBFEB8" w14:textId="77777777" w:rsidR="003505F7" w:rsidRPr="003505F7" w:rsidRDefault="003505F7" w:rsidP="003505F7">
      <w:pPr>
        <w:numPr>
          <w:ilvl w:val="0"/>
          <w:numId w:val="11"/>
        </w:numPr>
        <w:shd w:val="clear" w:color="auto" w:fill="FFFFFF"/>
        <w:tabs>
          <w:tab w:val="clear" w:pos="2528"/>
        </w:tabs>
        <w:spacing w:line="240" w:lineRule="auto"/>
        <w:ind w:left="1290"/>
        <w:rPr>
          <w:rFonts w:eastAsia="Times New Roman"/>
          <w:color w:val="161616"/>
          <w:lang w:eastAsia="en-NZ"/>
        </w:rPr>
      </w:pPr>
      <w:r w:rsidRPr="003505F7">
        <w:rPr>
          <w:rFonts w:eastAsia="Times New Roman"/>
          <w:color w:val="161616"/>
          <w:lang w:eastAsia="en-NZ"/>
        </w:rPr>
        <w:t>Access Microsoft Surface news and resources.</w:t>
      </w:r>
    </w:p>
    <w:p w14:paraId="00A59B17" w14:textId="77777777" w:rsidR="003505F7" w:rsidRPr="003505F7" w:rsidRDefault="003505F7" w:rsidP="003505F7">
      <w:pPr>
        <w:shd w:val="clear" w:color="auto" w:fill="FFFFFF"/>
        <w:tabs>
          <w:tab w:val="clear" w:pos="2528"/>
        </w:tabs>
        <w:spacing w:line="240" w:lineRule="auto"/>
        <w:ind w:left="1290"/>
        <w:rPr>
          <w:rFonts w:eastAsia="Times New Roman"/>
          <w:color w:val="161616"/>
          <w:sz w:val="24"/>
          <w:szCs w:val="24"/>
          <w:lang w:eastAsia="en-NZ"/>
        </w:rPr>
      </w:pPr>
    </w:p>
    <w:p w14:paraId="64822EAB" w14:textId="77777777" w:rsidR="00404F01" w:rsidRPr="00532ED6" w:rsidRDefault="00404F01" w:rsidP="00404F01">
      <w:pPr>
        <w:pStyle w:val="Heading2"/>
        <w:shd w:val="clear" w:color="auto" w:fill="FFFFFF"/>
        <w:spacing w:before="480" w:after="180"/>
        <w:rPr>
          <w:rFonts w:ascii="Segoe UI" w:eastAsiaTheme="minorHAnsi" w:hAnsi="Segoe UI" w:cs="Segoe UI"/>
          <w:b/>
          <w:bCs/>
          <w:color w:val="auto"/>
          <w:sz w:val="22"/>
          <w:szCs w:val="22"/>
        </w:rPr>
      </w:pPr>
      <w:r w:rsidRPr="00532ED6">
        <w:rPr>
          <w:rFonts w:ascii="Segoe UI" w:eastAsiaTheme="minorHAnsi" w:hAnsi="Segoe UI" w:cs="Segoe UI"/>
          <w:b/>
          <w:bCs/>
          <w:color w:val="auto"/>
          <w:sz w:val="22"/>
          <w:szCs w:val="22"/>
        </w:rPr>
        <w:t>Warranty and coverage</w:t>
      </w:r>
    </w:p>
    <w:p w14:paraId="714552B9" w14:textId="77777777" w:rsidR="00404F01" w:rsidRPr="000767E3" w:rsidRDefault="00404F01" w:rsidP="00404F01">
      <w:pPr>
        <w:pStyle w:val="NormalWeb"/>
        <w:shd w:val="clear" w:color="auto" w:fill="FFFFFF"/>
        <w:rPr>
          <w:rFonts w:ascii="Segoe UI" w:eastAsiaTheme="minorHAnsi" w:hAnsi="Segoe UI" w:cs="Segoe UI"/>
          <w:sz w:val="20"/>
          <w:szCs w:val="20"/>
          <w:lang w:eastAsia="en-US"/>
        </w:rPr>
      </w:pPr>
      <w:r w:rsidRPr="000767E3">
        <w:rPr>
          <w:rFonts w:ascii="Segoe UI" w:eastAsiaTheme="minorHAnsi" w:hAnsi="Segoe UI" w:cs="Segoe UI"/>
          <w:sz w:val="20"/>
          <w:szCs w:val="20"/>
          <w:lang w:eastAsia="en-US"/>
        </w:rPr>
        <w:t>Warranty information is available for devices enrolled in Microsoft Intune. Select </w:t>
      </w:r>
      <w:r w:rsidRPr="00C65879">
        <w:rPr>
          <w:rFonts w:ascii="Segoe UI" w:eastAsiaTheme="minorHAnsi" w:hAnsi="Segoe UI" w:cs="Segoe UI"/>
          <w:b/>
          <w:bCs/>
          <w:sz w:val="20"/>
          <w:szCs w:val="20"/>
          <w:lang w:eastAsia="en-US"/>
        </w:rPr>
        <w:t>Warranty and</w:t>
      </w:r>
      <w:r w:rsidRPr="000767E3">
        <w:rPr>
          <w:rFonts w:eastAsiaTheme="minorHAnsi"/>
          <w:b/>
          <w:bCs/>
          <w:sz w:val="20"/>
          <w:szCs w:val="20"/>
          <w:lang w:eastAsia="en-US"/>
        </w:rPr>
        <w:t xml:space="preserve"> </w:t>
      </w:r>
      <w:r w:rsidRPr="00C65879">
        <w:rPr>
          <w:rFonts w:ascii="Segoe UI" w:eastAsiaTheme="minorHAnsi" w:hAnsi="Segoe UI" w:cs="Segoe UI"/>
          <w:b/>
          <w:bCs/>
          <w:sz w:val="20"/>
          <w:szCs w:val="20"/>
          <w:lang w:eastAsia="en-US"/>
        </w:rPr>
        <w:t>coverage</w:t>
      </w:r>
      <w:r w:rsidRPr="000767E3">
        <w:rPr>
          <w:rFonts w:ascii="Segoe UI" w:eastAsiaTheme="minorHAnsi" w:hAnsi="Segoe UI" w:cs="Segoe UI"/>
          <w:sz w:val="20"/>
          <w:szCs w:val="20"/>
          <w:lang w:eastAsia="en-US"/>
        </w:rPr>
        <w:t xml:space="preserve"> to manage </w:t>
      </w:r>
      <w:proofErr w:type="gramStart"/>
      <w:r w:rsidRPr="000767E3">
        <w:rPr>
          <w:rFonts w:ascii="Segoe UI" w:eastAsiaTheme="minorHAnsi" w:hAnsi="Segoe UI" w:cs="Segoe UI"/>
          <w:sz w:val="20"/>
          <w:szCs w:val="20"/>
          <w:lang w:eastAsia="en-US"/>
        </w:rPr>
        <w:t>all of</w:t>
      </w:r>
      <w:proofErr w:type="gramEnd"/>
      <w:r w:rsidRPr="000767E3">
        <w:rPr>
          <w:rFonts w:ascii="Segoe UI" w:eastAsiaTheme="minorHAnsi" w:hAnsi="Segoe UI" w:cs="Segoe UI"/>
          <w:sz w:val="20"/>
          <w:szCs w:val="20"/>
          <w:lang w:eastAsia="en-US"/>
        </w:rPr>
        <w:t xml:space="preserve"> the warranty data that's associated with your Surface devices. You can use the information in this tab to plan for new devices and support requests.</w:t>
      </w:r>
    </w:p>
    <w:p w14:paraId="0B838609" w14:textId="77777777" w:rsidR="00404F01" w:rsidRPr="00532ED6" w:rsidRDefault="00404F01" w:rsidP="00404F01">
      <w:pPr>
        <w:pStyle w:val="NormalWeb"/>
        <w:shd w:val="clear" w:color="auto" w:fill="FFFFFF"/>
        <w:rPr>
          <w:rFonts w:ascii="Segoe UI" w:hAnsi="Segoe UI" w:cs="Segoe UI"/>
          <w:color w:val="161616"/>
          <w:sz w:val="20"/>
          <w:szCs w:val="20"/>
        </w:rPr>
      </w:pPr>
      <w:r w:rsidRPr="00532ED6">
        <w:rPr>
          <w:rFonts w:ascii="Segoe UI" w:hAnsi="Segoe UI" w:cs="Segoe UI"/>
          <w:color w:val="161616"/>
          <w:sz w:val="20"/>
          <w:szCs w:val="20"/>
        </w:rPr>
        <w:t>The </w:t>
      </w:r>
      <w:r w:rsidRPr="00532ED6">
        <w:rPr>
          <w:rStyle w:val="Strong"/>
          <w:rFonts w:ascii="Segoe UI" w:hAnsi="Segoe UI" w:cs="Segoe UI"/>
          <w:color w:val="161616"/>
          <w:sz w:val="20"/>
          <w:szCs w:val="20"/>
        </w:rPr>
        <w:t>coverage status</w:t>
      </w:r>
      <w:r w:rsidRPr="00532ED6">
        <w:rPr>
          <w:rFonts w:ascii="Segoe UI" w:hAnsi="Segoe UI" w:cs="Segoe UI"/>
          <w:color w:val="161616"/>
          <w:sz w:val="20"/>
          <w:szCs w:val="20"/>
        </w:rPr>
        <w:t> tracks the expiration and coverage of Surface warranties. Select any status to view and drill down into affected devices. Statuses shown include:</w:t>
      </w:r>
    </w:p>
    <w:p w14:paraId="4FB9C070" w14:textId="77777777" w:rsidR="00404F01" w:rsidRPr="00532ED6" w:rsidRDefault="00404F01" w:rsidP="00404F01">
      <w:pPr>
        <w:numPr>
          <w:ilvl w:val="0"/>
          <w:numId w:val="9"/>
        </w:numPr>
        <w:shd w:val="clear" w:color="auto" w:fill="FFFFFF"/>
        <w:tabs>
          <w:tab w:val="clear" w:pos="2528"/>
        </w:tabs>
        <w:spacing w:line="240" w:lineRule="auto"/>
        <w:ind w:left="1290"/>
        <w:rPr>
          <w:color w:val="161616"/>
        </w:rPr>
      </w:pPr>
      <w:r w:rsidRPr="00532ED6">
        <w:rPr>
          <w:rStyle w:val="Strong"/>
          <w:color w:val="161616"/>
        </w:rPr>
        <w:t>Expired</w:t>
      </w:r>
      <w:r w:rsidRPr="00532ED6">
        <w:rPr>
          <w:color w:val="161616"/>
        </w:rPr>
        <w:t>: Number of devices with expired warranties.</w:t>
      </w:r>
    </w:p>
    <w:p w14:paraId="2418793B" w14:textId="77777777" w:rsidR="00404F01" w:rsidRPr="00532ED6" w:rsidRDefault="00404F01" w:rsidP="00404F01">
      <w:pPr>
        <w:numPr>
          <w:ilvl w:val="0"/>
          <w:numId w:val="9"/>
        </w:numPr>
        <w:shd w:val="clear" w:color="auto" w:fill="FFFFFF"/>
        <w:tabs>
          <w:tab w:val="clear" w:pos="2528"/>
        </w:tabs>
        <w:spacing w:line="240" w:lineRule="auto"/>
        <w:ind w:left="1290"/>
        <w:rPr>
          <w:color w:val="161616"/>
        </w:rPr>
      </w:pPr>
      <w:r w:rsidRPr="00532ED6">
        <w:rPr>
          <w:rStyle w:val="Strong"/>
          <w:color w:val="161616"/>
        </w:rPr>
        <w:t>Covered</w:t>
      </w:r>
      <w:r w:rsidRPr="00532ED6">
        <w:rPr>
          <w:color w:val="161616"/>
        </w:rPr>
        <w:t>: Number of devices still covered under warranty.</w:t>
      </w:r>
    </w:p>
    <w:p w14:paraId="59EF9F87" w14:textId="77777777" w:rsidR="00404F01" w:rsidRPr="00532ED6" w:rsidRDefault="00404F01" w:rsidP="00404F01">
      <w:pPr>
        <w:numPr>
          <w:ilvl w:val="0"/>
          <w:numId w:val="9"/>
        </w:numPr>
        <w:shd w:val="clear" w:color="auto" w:fill="FFFFFF"/>
        <w:tabs>
          <w:tab w:val="clear" w:pos="2528"/>
        </w:tabs>
        <w:spacing w:line="240" w:lineRule="auto"/>
        <w:ind w:left="1290"/>
        <w:rPr>
          <w:color w:val="161616"/>
        </w:rPr>
      </w:pPr>
      <w:r w:rsidRPr="00532ED6">
        <w:rPr>
          <w:rStyle w:val="Strong"/>
          <w:color w:val="161616"/>
        </w:rPr>
        <w:t>Expiring</w:t>
      </w:r>
      <w:r w:rsidRPr="00532ED6">
        <w:rPr>
          <w:color w:val="161616"/>
        </w:rPr>
        <w:t>: Number of devices approaching the warranty expiration date.</w:t>
      </w:r>
    </w:p>
    <w:p w14:paraId="58C7E8BD" w14:textId="77777777" w:rsidR="00404F01" w:rsidRPr="00532ED6" w:rsidRDefault="00404F01" w:rsidP="00404F01">
      <w:pPr>
        <w:numPr>
          <w:ilvl w:val="0"/>
          <w:numId w:val="9"/>
        </w:numPr>
        <w:shd w:val="clear" w:color="auto" w:fill="FFFFFF"/>
        <w:tabs>
          <w:tab w:val="clear" w:pos="2528"/>
        </w:tabs>
        <w:spacing w:line="240" w:lineRule="auto"/>
        <w:ind w:left="1290"/>
        <w:rPr>
          <w:color w:val="161616"/>
        </w:rPr>
      </w:pPr>
      <w:r w:rsidRPr="00532ED6">
        <w:rPr>
          <w:rStyle w:val="Strong"/>
          <w:color w:val="161616"/>
        </w:rPr>
        <w:t>Eligible</w:t>
      </w:r>
      <w:r w:rsidRPr="00532ED6">
        <w:rPr>
          <w:color w:val="161616"/>
        </w:rPr>
        <w:t>: Number of devices eligible for optional coverage.</w:t>
      </w:r>
    </w:p>
    <w:p w14:paraId="08388DAE" w14:textId="77777777" w:rsidR="00404F01" w:rsidRPr="00532ED6" w:rsidRDefault="00404F01" w:rsidP="00404F01">
      <w:pPr>
        <w:pStyle w:val="NormalWeb"/>
        <w:shd w:val="clear" w:color="auto" w:fill="FFFFFF"/>
        <w:rPr>
          <w:rFonts w:ascii="Segoe UI" w:hAnsi="Segoe UI" w:cs="Segoe UI"/>
          <w:color w:val="161616"/>
          <w:sz w:val="20"/>
          <w:szCs w:val="20"/>
        </w:rPr>
      </w:pPr>
      <w:r w:rsidRPr="00532ED6">
        <w:rPr>
          <w:rFonts w:ascii="Segoe UI" w:hAnsi="Segoe UI" w:cs="Segoe UI"/>
          <w:color w:val="161616"/>
          <w:sz w:val="20"/>
          <w:szCs w:val="20"/>
        </w:rPr>
        <w:t>Links to other resources are provided under </w:t>
      </w:r>
      <w:r w:rsidRPr="00532ED6">
        <w:rPr>
          <w:rStyle w:val="Strong"/>
          <w:rFonts w:ascii="Segoe UI" w:hAnsi="Segoe UI" w:cs="Segoe UI"/>
          <w:color w:val="161616"/>
          <w:sz w:val="20"/>
          <w:szCs w:val="20"/>
        </w:rPr>
        <w:t>Warranty and coverage resources</w:t>
      </w:r>
      <w:r w:rsidRPr="00532ED6">
        <w:rPr>
          <w:rFonts w:ascii="Segoe UI" w:hAnsi="Segoe UI" w:cs="Segoe UI"/>
          <w:color w:val="161616"/>
          <w:sz w:val="20"/>
          <w:szCs w:val="20"/>
        </w:rPr>
        <w:t> and </w:t>
      </w:r>
      <w:r w:rsidRPr="00532ED6">
        <w:rPr>
          <w:rStyle w:val="Strong"/>
          <w:rFonts w:ascii="Segoe UI" w:hAnsi="Segoe UI" w:cs="Segoe UI"/>
          <w:color w:val="161616"/>
          <w:sz w:val="20"/>
          <w:szCs w:val="20"/>
        </w:rPr>
        <w:t>Customer service and support resources</w:t>
      </w:r>
      <w:r w:rsidRPr="00532ED6">
        <w:rPr>
          <w:rFonts w:ascii="Segoe UI" w:hAnsi="Segoe UI" w:cs="Segoe UI"/>
          <w:color w:val="161616"/>
          <w:sz w:val="20"/>
          <w:szCs w:val="20"/>
        </w:rPr>
        <w:t>.</w:t>
      </w:r>
    </w:p>
    <w:p w14:paraId="7C9FF8B7" w14:textId="77777777" w:rsidR="00404F01" w:rsidRPr="00532ED6" w:rsidRDefault="00404F01" w:rsidP="00404F01">
      <w:pPr>
        <w:pStyle w:val="Heading2"/>
        <w:shd w:val="clear" w:color="auto" w:fill="FFFFFF"/>
        <w:spacing w:before="480" w:after="180"/>
        <w:rPr>
          <w:rFonts w:ascii="Segoe UI" w:hAnsi="Segoe UI" w:cs="Segoe UI"/>
          <w:color w:val="161616"/>
          <w:sz w:val="20"/>
          <w:szCs w:val="20"/>
        </w:rPr>
      </w:pPr>
      <w:r w:rsidRPr="00532ED6">
        <w:rPr>
          <w:rFonts w:ascii="Segoe UI" w:hAnsi="Segoe UI" w:cs="Segoe UI"/>
          <w:color w:val="161616"/>
          <w:sz w:val="20"/>
          <w:szCs w:val="20"/>
        </w:rPr>
        <w:t>Support</w:t>
      </w:r>
    </w:p>
    <w:p w14:paraId="201580A4" w14:textId="77777777" w:rsidR="00404F01" w:rsidRPr="00532ED6" w:rsidRDefault="00404F01" w:rsidP="00404F01">
      <w:pPr>
        <w:pStyle w:val="NormalWeb"/>
        <w:shd w:val="clear" w:color="auto" w:fill="FFFFFF"/>
        <w:rPr>
          <w:rFonts w:ascii="Segoe UI" w:hAnsi="Segoe UI" w:cs="Segoe UI"/>
          <w:color w:val="161616"/>
          <w:sz w:val="20"/>
          <w:szCs w:val="20"/>
        </w:rPr>
      </w:pPr>
      <w:r w:rsidRPr="00532ED6">
        <w:rPr>
          <w:rFonts w:ascii="Segoe UI" w:hAnsi="Segoe UI" w:cs="Segoe UI"/>
          <w:color w:val="161616"/>
          <w:sz w:val="20"/>
          <w:szCs w:val="20"/>
        </w:rPr>
        <w:t>Select </w:t>
      </w:r>
      <w:r w:rsidRPr="00532ED6">
        <w:rPr>
          <w:rStyle w:val="Strong"/>
          <w:rFonts w:ascii="Segoe UI" w:hAnsi="Segoe UI" w:cs="Segoe UI"/>
          <w:color w:val="161616"/>
          <w:sz w:val="20"/>
          <w:szCs w:val="20"/>
        </w:rPr>
        <w:t>Support</w:t>
      </w:r>
      <w:r w:rsidRPr="00532ED6">
        <w:rPr>
          <w:rFonts w:ascii="Segoe UI" w:hAnsi="Segoe UI" w:cs="Segoe UI"/>
          <w:color w:val="161616"/>
          <w:sz w:val="20"/>
          <w:szCs w:val="20"/>
        </w:rPr>
        <w:t> to access and monitor all Surface support requests. This area is for self-service and troubleshooting, and tracks support activity, including:</w:t>
      </w:r>
    </w:p>
    <w:p w14:paraId="73F4C64D" w14:textId="77777777" w:rsidR="00404F01" w:rsidRPr="00532ED6" w:rsidRDefault="00404F01" w:rsidP="00404F01">
      <w:pPr>
        <w:numPr>
          <w:ilvl w:val="0"/>
          <w:numId w:val="10"/>
        </w:numPr>
        <w:shd w:val="clear" w:color="auto" w:fill="FFFFFF"/>
        <w:tabs>
          <w:tab w:val="clear" w:pos="2528"/>
        </w:tabs>
        <w:spacing w:line="240" w:lineRule="auto"/>
        <w:ind w:left="1290"/>
        <w:rPr>
          <w:color w:val="161616"/>
        </w:rPr>
      </w:pPr>
      <w:r w:rsidRPr="00532ED6">
        <w:rPr>
          <w:color w:val="161616"/>
        </w:rPr>
        <w:t>Open requests</w:t>
      </w:r>
    </w:p>
    <w:p w14:paraId="1068770E" w14:textId="77777777" w:rsidR="00404F01" w:rsidRPr="00532ED6" w:rsidRDefault="00404F01" w:rsidP="00404F01">
      <w:pPr>
        <w:numPr>
          <w:ilvl w:val="0"/>
          <w:numId w:val="10"/>
        </w:numPr>
        <w:shd w:val="clear" w:color="auto" w:fill="FFFFFF"/>
        <w:tabs>
          <w:tab w:val="clear" w:pos="2528"/>
        </w:tabs>
        <w:spacing w:line="240" w:lineRule="auto"/>
        <w:ind w:left="1290"/>
        <w:rPr>
          <w:color w:val="161616"/>
        </w:rPr>
      </w:pPr>
      <w:r w:rsidRPr="00532ED6">
        <w:rPr>
          <w:color w:val="161616"/>
        </w:rPr>
        <w:t>Closed requests</w:t>
      </w:r>
    </w:p>
    <w:p w14:paraId="12AC09F6" w14:textId="77777777" w:rsidR="00404F01" w:rsidRPr="00532ED6" w:rsidRDefault="00404F01" w:rsidP="00404F01">
      <w:pPr>
        <w:numPr>
          <w:ilvl w:val="0"/>
          <w:numId w:val="10"/>
        </w:numPr>
        <w:shd w:val="clear" w:color="auto" w:fill="FFFFFF"/>
        <w:tabs>
          <w:tab w:val="clear" w:pos="2528"/>
        </w:tabs>
        <w:spacing w:line="240" w:lineRule="auto"/>
        <w:ind w:left="1290"/>
        <w:rPr>
          <w:color w:val="161616"/>
        </w:rPr>
      </w:pPr>
      <w:r w:rsidRPr="00532ED6">
        <w:rPr>
          <w:color w:val="161616"/>
        </w:rPr>
        <w:t>Last updated support requests</w:t>
      </w:r>
    </w:p>
    <w:p w14:paraId="39F568C4" w14:textId="0DE57693" w:rsidR="00404F01" w:rsidRPr="00BE0952" w:rsidRDefault="00404F01" w:rsidP="0086675F">
      <w:pPr>
        <w:pStyle w:val="NormalWeb"/>
        <w:shd w:val="clear" w:color="auto" w:fill="FFFFFF"/>
      </w:pPr>
      <w:r w:rsidRPr="00532ED6">
        <w:rPr>
          <w:rFonts w:ascii="Segoe UI" w:hAnsi="Segoe UI" w:cs="Segoe UI"/>
          <w:color w:val="161616"/>
          <w:sz w:val="20"/>
          <w:szCs w:val="20"/>
        </w:rPr>
        <w:t>If a Surface device isn’t working properly, the Microsoft Surface Diagnostic Toolkit (SDT) for Business can help you find and solve problems. Select </w:t>
      </w:r>
      <w:r w:rsidRPr="00532ED6">
        <w:rPr>
          <w:rStyle w:val="Strong"/>
          <w:rFonts w:ascii="Segoe UI" w:hAnsi="Segoe UI" w:cs="Segoe UI"/>
          <w:color w:val="161616"/>
          <w:sz w:val="20"/>
          <w:szCs w:val="20"/>
        </w:rPr>
        <w:t>Troubleshoot with SDT</w:t>
      </w:r>
      <w:r w:rsidRPr="00532ED6">
        <w:rPr>
          <w:rFonts w:ascii="Segoe UI" w:hAnsi="Segoe UI" w:cs="Segoe UI"/>
          <w:color w:val="161616"/>
          <w:sz w:val="20"/>
          <w:szCs w:val="20"/>
        </w:rPr>
        <w:t> to learn how to install and use SDT to target problems on Surface devices. More support channels are listed under </w:t>
      </w:r>
      <w:r w:rsidRPr="00532ED6">
        <w:rPr>
          <w:rStyle w:val="Strong"/>
          <w:rFonts w:ascii="Segoe UI" w:hAnsi="Segoe UI" w:cs="Segoe UI"/>
          <w:color w:val="161616"/>
          <w:sz w:val="20"/>
          <w:szCs w:val="20"/>
        </w:rPr>
        <w:t>Resources</w:t>
      </w:r>
      <w:r w:rsidRPr="00532ED6">
        <w:rPr>
          <w:rFonts w:ascii="Segoe UI" w:hAnsi="Segoe UI" w:cs="Segoe UI"/>
          <w:color w:val="161616"/>
          <w:sz w:val="20"/>
          <w:szCs w:val="20"/>
        </w:rPr>
        <w:t>.</w:t>
      </w:r>
    </w:p>
    <w:sectPr w:rsidR="00404F01" w:rsidRPr="00BE0952" w:rsidSect="007338C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D9F9" w14:textId="77777777" w:rsidR="00422C4F" w:rsidRDefault="00422C4F" w:rsidP="007D7633">
      <w:r>
        <w:separator/>
      </w:r>
    </w:p>
  </w:endnote>
  <w:endnote w:type="continuationSeparator" w:id="0">
    <w:p w14:paraId="1D498E9A" w14:textId="77777777" w:rsidR="00422C4F" w:rsidRDefault="00422C4F" w:rsidP="007D7633">
      <w:r>
        <w:continuationSeparator/>
      </w:r>
    </w:p>
  </w:endnote>
  <w:endnote w:type="continuationNotice" w:id="1">
    <w:p w14:paraId="05D802ED" w14:textId="77777777" w:rsidR="00422C4F" w:rsidRDefault="00422C4F" w:rsidP="007D7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AC8A" w14:textId="39818CD1" w:rsidR="00524D04" w:rsidRDefault="00EB2D14" w:rsidP="00524D04">
    <w:pPr>
      <w:pStyle w:val="PageNumber1"/>
      <w:jc w:val="right"/>
    </w:pPr>
    <w:r w:rsidRPr="00FA1C9E">
      <w:rPr>
        <w:noProof/>
      </w:rPr>
      <w:drawing>
        <wp:anchor distT="0" distB="0" distL="114300" distR="114300" simplePos="0" relativeHeight="251665408" behindDoc="1" locked="0" layoutInCell="1" allowOverlap="1" wp14:anchorId="3A03EE24" wp14:editId="53AFDAD9">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00603354" w:rsidRPr="00FA1C9E">
      <w:t xml:space="preserve">Page </w:t>
    </w:r>
    <w:r w:rsidR="00603354" w:rsidRPr="00FA1C9E">
      <w:fldChar w:fldCharType="begin"/>
    </w:r>
    <w:r w:rsidR="00603354" w:rsidRPr="00FA1C9E">
      <w:instrText xml:space="preserve"> PAGE  \* Arabic  \* MERGEFORMAT </w:instrText>
    </w:r>
    <w:r w:rsidR="00603354" w:rsidRPr="00FA1C9E">
      <w:fldChar w:fldCharType="separate"/>
    </w:r>
    <w:r w:rsidR="00603354" w:rsidRPr="00FA1C9E">
      <w:t>1</w:t>
    </w:r>
    <w:r w:rsidR="00603354" w:rsidRPr="00FA1C9E">
      <w:fldChar w:fldCharType="end"/>
    </w:r>
    <w:r w:rsidR="00603354" w:rsidRPr="00FA1C9E">
      <w:t xml:space="preserve"> of </w:t>
    </w:r>
    <w:fldSimple w:instr=" NUMPAGES  \* Arabic  \* MERGEFORMAT ">
      <w:r w:rsidR="00603354" w:rsidRPr="00FA1C9E">
        <w:t>2</w:t>
      </w:r>
    </w:fldSimple>
    <w:r w:rsidR="006E21AF">
      <w:t xml:space="preserve"> </w:t>
    </w:r>
  </w:p>
  <w:p w14:paraId="4B818621" w14:textId="3F13C26C" w:rsidR="005B3113" w:rsidRPr="00524D04" w:rsidRDefault="00000000" w:rsidP="00524D04">
    <w:pPr>
      <w:spacing w:line="240" w:lineRule="auto"/>
      <w:jc w:val="right"/>
      <w:rPr>
        <w:sz w:val="16"/>
        <w:szCs w:val="16"/>
      </w:rPr>
    </w:pPr>
    <w:hyperlink r:id="rId2" w:history="1">
      <w:r w:rsidR="00524D04" w:rsidRPr="00143D43">
        <w:rPr>
          <w:rStyle w:val="Hyperlink"/>
          <w:sz w:val="16"/>
          <w:szCs w:val="16"/>
        </w:rPr>
        <w:t>returns.authorities@dickerdata.co,nz</w:t>
      </w:r>
    </w:hyperlink>
    <w:r w:rsidR="00524D04">
      <w:rPr>
        <w:rStyle w:val="ui-provider"/>
        <w:sz w:val="16"/>
        <w:szCs w:val="16"/>
      </w:rPr>
      <w:t xml:space="preserve"> </w:t>
    </w:r>
    <w:r w:rsidR="00543C88" w:rsidRPr="00FA1C9E">
      <w:rPr>
        <w:noProof/>
      </w:rPr>
      <mc:AlternateContent>
        <mc:Choice Requires="wps">
          <w:drawing>
            <wp:anchor distT="0" distB="0" distL="114300" distR="114300" simplePos="0" relativeHeight="251662336" behindDoc="0" locked="0" layoutInCell="1" allowOverlap="1" wp14:anchorId="6EC15EA4" wp14:editId="3EBED1C0">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FD84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5D21" w14:textId="77777777" w:rsidR="00422C4F" w:rsidRDefault="00422C4F" w:rsidP="007D7633">
      <w:r>
        <w:separator/>
      </w:r>
    </w:p>
  </w:footnote>
  <w:footnote w:type="continuationSeparator" w:id="0">
    <w:p w14:paraId="14664E2A" w14:textId="77777777" w:rsidR="00422C4F" w:rsidRDefault="00422C4F" w:rsidP="007D7633">
      <w:r>
        <w:continuationSeparator/>
      </w:r>
    </w:p>
  </w:footnote>
  <w:footnote w:type="continuationNotice" w:id="1">
    <w:p w14:paraId="02A32F5E" w14:textId="77777777" w:rsidR="00422C4F" w:rsidRDefault="00422C4F" w:rsidP="007D7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6131" w14:textId="7E468013" w:rsidR="009738FA" w:rsidRDefault="00017317" w:rsidP="007D7633">
    <w:pPr>
      <w:pStyle w:val="Header"/>
    </w:pPr>
    <w:r>
      <w:rPr>
        <w:noProof/>
      </w:rPr>
      <w:drawing>
        <wp:anchor distT="0" distB="0" distL="114300" distR="114300" simplePos="0" relativeHeight="251663360" behindDoc="0" locked="0" layoutInCell="1" allowOverlap="1" wp14:anchorId="71AC50A3" wp14:editId="74091AE1">
          <wp:simplePos x="0" y="0"/>
          <wp:positionH relativeFrom="margin">
            <wp:align>center</wp:align>
          </wp:positionH>
          <wp:positionV relativeFrom="topMargin">
            <wp:align>center</wp:align>
          </wp:positionV>
          <wp:extent cx="1859400" cy="243720"/>
          <wp:effectExtent l="0" t="0" r="0" b="444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59400" cy="24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35"/>
    <w:multiLevelType w:val="hybridMultilevel"/>
    <w:tmpl w:val="CCC0747A"/>
    <w:lvl w:ilvl="0" w:tplc="BC801E9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56BCB"/>
    <w:multiLevelType w:val="multilevel"/>
    <w:tmpl w:val="574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3470C"/>
    <w:multiLevelType w:val="hybridMultilevel"/>
    <w:tmpl w:val="D3DE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54681"/>
    <w:multiLevelType w:val="hybridMultilevel"/>
    <w:tmpl w:val="27008784"/>
    <w:lvl w:ilvl="0" w:tplc="FB082018">
      <w:numFmt w:val="bullet"/>
      <w:lvlText w:val="•"/>
      <w:lvlJc w:val="left"/>
      <w:pPr>
        <w:ind w:left="720" w:hanging="360"/>
      </w:pPr>
      <w:rPr>
        <w:rFonts w:ascii="Segoe UI" w:eastAsiaTheme="minorHAnsi"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964DE1"/>
    <w:multiLevelType w:val="hybridMultilevel"/>
    <w:tmpl w:val="E9DEB03A"/>
    <w:lvl w:ilvl="0" w:tplc="F4C616A4">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5C3A3E"/>
    <w:multiLevelType w:val="hybridMultilevel"/>
    <w:tmpl w:val="2C7CE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EE246DD"/>
    <w:multiLevelType w:val="hybridMultilevel"/>
    <w:tmpl w:val="A37EC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57E27"/>
    <w:multiLevelType w:val="multilevel"/>
    <w:tmpl w:val="E45A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E27BC"/>
    <w:multiLevelType w:val="hybridMultilevel"/>
    <w:tmpl w:val="FF32B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6A61321"/>
    <w:multiLevelType w:val="hybridMultilevel"/>
    <w:tmpl w:val="62E8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6C2C94"/>
    <w:multiLevelType w:val="multilevel"/>
    <w:tmpl w:val="DCAE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838594">
    <w:abstractNumId w:val="2"/>
  </w:num>
  <w:num w:numId="2" w16cid:durableId="1668165302">
    <w:abstractNumId w:val="9"/>
  </w:num>
  <w:num w:numId="3" w16cid:durableId="1075012443">
    <w:abstractNumId w:val="0"/>
  </w:num>
  <w:num w:numId="4" w16cid:durableId="247620363">
    <w:abstractNumId w:val="6"/>
  </w:num>
  <w:num w:numId="5" w16cid:durableId="331373132">
    <w:abstractNumId w:val="4"/>
  </w:num>
  <w:num w:numId="6" w16cid:durableId="1477792989">
    <w:abstractNumId w:val="8"/>
  </w:num>
  <w:num w:numId="7" w16cid:durableId="689070469">
    <w:abstractNumId w:val="3"/>
  </w:num>
  <w:num w:numId="8" w16cid:durableId="599871041">
    <w:abstractNumId w:val="5"/>
  </w:num>
  <w:num w:numId="9" w16cid:durableId="1291597807">
    <w:abstractNumId w:val="7"/>
  </w:num>
  <w:num w:numId="10" w16cid:durableId="72237736">
    <w:abstractNumId w:val="1"/>
  </w:num>
  <w:num w:numId="11" w16cid:durableId="531461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FA"/>
    <w:rsid w:val="00017317"/>
    <w:rsid w:val="000344A4"/>
    <w:rsid w:val="00037092"/>
    <w:rsid w:val="00050420"/>
    <w:rsid w:val="0005418E"/>
    <w:rsid w:val="000767E3"/>
    <w:rsid w:val="000952AD"/>
    <w:rsid w:val="000A5D60"/>
    <w:rsid w:val="00151B4A"/>
    <w:rsid w:val="00160C41"/>
    <w:rsid w:val="0018499B"/>
    <w:rsid w:val="00193BD8"/>
    <w:rsid w:val="001A3053"/>
    <w:rsid w:val="001A4E0E"/>
    <w:rsid w:val="001A6977"/>
    <w:rsid w:val="001A7652"/>
    <w:rsid w:val="001B0347"/>
    <w:rsid w:val="001B0634"/>
    <w:rsid w:val="001B7707"/>
    <w:rsid w:val="001E0A6B"/>
    <w:rsid w:val="001F3CEB"/>
    <w:rsid w:val="00201199"/>
    <w:rsid w:val="002025EE"/>
    <w:rsid w:val="002079E2"/>
    <w:rsid w:val="0023198F"/>
    <w:rsid w:val="00235CD1"/>
    <w:rsid w:val="00265566"/>
    <w:rsid w:val="002976CF"/>
    <w:rsid w:val="002A0E88"/>
    <w:rsid w:val="003242F7"/>
    <w:rsid w:val="00324A19"/>
    <w:rsid w:val="003505F7"/>
    <w:rsid w:val="00394B34"/>
    <w:rsid w:val="003C0FF5"/>
    <w:rsid w:val="003C12FC"/>
    <w:rsid w:val="00404F01"/>
    <w:rsid w:val="0041594D"/>
    <w:rsid w:val="004220C0"/>
    <w:rsid w:val="00422C4F"/>
    <w:rsid w:val="00431E82"/>
    <w:rsid w:val="00462B09"/>
    <w:rsid w:val="00463815"/>
    <w:rsid w:val="00485435"/>
    <w:rsid w:val="0049324F"/>
    <w:rsid w:val="004C3AE7"/>
    <w:rsid w:val="004E57AC"/>
    <w:rsid w:val="00501306"/>
    <w:rsid w:val="005058ED"/>
    <w:rsid w:val="00506CDB"/>
    <w:rsid w:val="00524D04"/>
    <w:rsid w:val="00532ED6"/>
    <w:rsid w:val="0054356A"/>
    <w:rsid w:val="00543C88"/>
    <w:rsid w:val="0056055D"/>
    <w:rsid w:val="00582165"/>
    <w:rsid w:val="005951BD"/>
    <w:rsid w:val="005B3113"/>
    <w:rsid w:val="005F0262"/>
    <w:rsid w:val="006014C1"/>
    <w:rsid w:val="00603354"/>
    <w:rsid w:val="00636CD6"/>
    <w:rsid w:val="00644E18"/>
    <w:rsid w:val="0065523F"/>
    <w:rsid w:val="00692232"/>
    <w:rsid w:val="006B665C"/>
    <w:rsid w:val="006C71DB"/>
    <w:rsid w:val="006E21AF"/>
    <w:rsid w:val="006F15BA"/>
    <w:rsid w:val="007338C7"/>
    <w:rsid w:val="007409E5"/>
    <w:rsid w:val="007502B8"/>
    <w:rsid w:val="007508C1"/>
    <w:rsid w:val="00751DFD"/>
    <w:rsid w:val="007540DD"/>
    <w:rsid w:val="00782595"/>
    <w:rsid w:val="00792378"/>
    <w:rsid w:val="00796E6D"/>
    <w:rsid w:val="007A6AF1"/>
    <w:rsid w:val="007C11DF"/>
    <w:rsid w:val="007C6D60"/>
    <w:rsid w:val="007D7418"/>
    <w:rsid w:val="007D7633"/>
    <w:rsid w:val="007E2AF6"/>
    <w:rsid w:val="007F072E"/>
    <w:rsid w:val="00817A45"/>
    <w:rsid w:val="0086675F"/>
    <w:rsid w:val="008737B4"/>
    <w:rsid w:val="00893FB1"/>
    <w:rsid w:val="008A3B01"/>
    <w:rsid w:val="008B6829"/>
    <w:rsid w:val="008D053D"/>
    <w:rsid w:val="009738FA"/>
    <w:rsid w:val="00974AE3"/>
    <w:rsid w:val="009B40E8"/>
    <w:rsid w:val="009C5F3C"/>
    <w:rsid w:val="00A1138A"/>
    <w:rsid w:val="00A16EFE"/>
    <w:rsid w:val="00A35E39"/>
    <w:rsid w:val="00A47946"/>
    <w:rsid w:val="00A54F7D"/>
    <w:rsid w:val="00AB5840"/>
    <w:rsid w:val="00AB7902"/>
    <w:rsid w:val="00AD0A54"/>
    <w:rsid w:val="00AF2619"/>
    <w:rsid w:val="00B06183"/>
    <w:rsid w:val="00B12334"/>
    <w:rsid w:val="00B3669A"/>
    <w:rsid w:val="00B62971"/>
    <w:rsid w:val="00BE078D"/>
    <w:rsid w:val="00BE0952"/>
    <w:rsid w:val="00C47AFF"/>
    <w:rsid w:val="00C65879"/>
    <w:rsid w:val="00C74137"/>
    <w:rsid w:val="00CA29B7"/>
    <w:rsid w:val="00CA2FE7"/>
    <w:rsid w:val="00CF2A7C"/>
    <w:rsid w:val="00D00B3E"/>
    <w:rsid w:val="00D20F9C"/>
    <w:rsid w:val="00D627EB"/>
    <w:rsid w:val="00D72740"/>
    <w:rsid w:val="00D921E1"/>
    <w:rsid w:val="00DC7B48"/>
    <w:rsid w:val="00DE0309"/>
    <w:rsid w:val="00E079E5"/>
    <w:rsid w:val="00E328ED"/>
    <w:rsid w:val="00E512FD"/>
    <w:rsid w:val="00E85687"/>
    <w:rsid w:val="00E85EEE"/>
    <w:rsid w:val="00E87616"/>
    <w:rsid w:val="00EA187D"/>
    <w:rsid w:val="00EB2D14"/>
    <w:rsid w:val="00EC13E9"/>
    <w:rsid w:val="00F06A89"/>
    <w:rsid w:val="00F42E33"/>
    <w:rsid w:val="00F52CC3"/>
    <w:rsid w:val="00FA1C9E"/>
    <w:rsid w:val="00FA2615"/>
    <w:rsid w:val="00FC0346"/>
    <w:rsid w:val="00FC32E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FDA34"/>
  <w15:chartTrackingRefBased/>
  <w15:docId w15:val="{297AD7B1-9E0B-2A4C-9220-AA5B582E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E6D"/>
    <w:pPr>
      <w:tabs>
        <w:tab w:val="left" w:pos="2528"/>
      </w:tabs>
      <w:spacing w:line="360" w:lineRule="auto"/>
    </w:pPr>
    <w:rPr>
      <w:rFonts w:ascii="Segoe UI" w:hAnsi="Segoe UI" w:cs="Segoe UI"/>
      <w:sz w:val="20"/>
      <w:szCs w:val="20"/>
    </w:rPr>
  </w:style>
  <w:style w:type="paragraph" w:styleId="Heading1">
    <w:name w:val="heading 1"/>
    <w:basedOn w:val="Normal"/>
    <w:next w:val="Normal"/>
    <w:link w:val="Heading1Char"/>
    <w:uiPriority w:val="9"/>
    <w:qFormat/>
    <w:rsid w:val="00193BD8"/>
    <w:pPr>
      <w:keepNext/>
      <w:keepLines/>
      <w:spacing w:before="240"/>
      <w:jc w:val="center"/>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semiHidden/>
    <w:unhideWhenUsed/>
    <w:qFormat/>
    <w:rsid w:val="00404F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Footer"/>
    <w:rsid w:val="001B0634"/>
    <w:pPr>
      <w:tabs>
        <w:tab w:val="clear" w:pos="4513"/>
        <w:tab w:val="clear" w:pos="9026"/>
      </w:tabs>
    </w:pPr>
  </w:style>
  <w:style w:type="paragraph" w:styleId="ListParagraph">
    <w:name w:val="List Paragraph"/>
    <w:basedOn w:val="Normal"/>
    <w:uiPriority w:val="34"/>
    <w:qFormat/>
    <w:rsid w:val="0065523F"/>
    <w:pPr>
      <w:numPr>
        <w:numId w:val="5"/>
      </w:numPr>
      <w:tabs>
        <w:tab w:val="center" w:pos="4513"/>
      </w:tabs>
      <w:contextualSpacing/>
    </w:pPr>
  </w:style>
  <w:style w:type="character" w:styleId="Hyperlink">
    <w:name w:val="Hyperlink"/>
    <w:basedOn w:val="DefaultParagraphFont"/>
    <w:uiPriority w:val="99"/>
    <w:unhideWhenUsed/>
    <w:rsid w:val="009738FA"/>
    <w:rPr>
      <w:color w:val="0563C1" w:themeColor="hyperlink"/>
      <w:u w:val="single"/>
    </w:rPr>
  </w:style>
  <w:style w:type="character" w:styleId="UnresolvedMention">
    <w:name w:val="Unresolved Mention"/>
    <w:basedOn w:val="DefaultParagraphFont"/>
    <w:uiPriority w:val="99"/>
    <w:semiHidden/>
    <w:unhideWhenUsed/>
    <w:rsid w:val="009738FA"/>
    <w:rPr>
      <w:color w:val="605E5C"/>
      <w:shd w:val="clear" w:color="auto" w:fill="E1DFDD"/>
    </w:rPr>
  </w:style>
  <w:style w:type="paragraph" w:styleId="Header">
    <w:name w:val="header"/>
    <w:basedOn w:val="Normal"/>
    <w:link w:val="HeaderChar"/>
    <w:uiPriority w:val="99"/>
    <w:unhideWhenUsed/>
    <w:rsid w:val="009738FA"/>
    <w:pPr>
      <w:tabs>
        <w:tab w:val="center" w:pos="4513"/>
        <w:tab w:val="right" w:pos="9026"/>
      </w:tabs>
    </w:pPr>
  </w:style>
  <w:style w:type="character" w:customStyle="1" w:styleId="HeaderChar">
    <w:name w:val="Header Char"/>
    <w:basedOn w:val="DefaultParagraphFont"/>
    <w:link w:val="Header"/>
    <w:uiPriority w:val="99"/>
    <w:rsid w:val="009738FA"/>
  </w:style>
  <w:style w:type="paragraph" w:styleId="Footer">
    <w:name w:val="footer"/>
    <w:basedOn w:val="Normal"/>
    <w:link w:val="FooterChar"/>
    <w:uiPriority w:val="99"/>
    <w:unhideWhenUsed/>
    <w:rsid w:val="009738FA"/>
    <w:pPr>
      <w:tabs>
        <w:tab w:val="center" w:pos="4513"/>
        <w:tab w:val="right" w:pos="9026"/>
      </w:tabs>
    </w:pPr>
  </w:style>
  <w:style w:type="character" w:customStyle="1" w:styleId="FooterChar">
    <w:name w:val="Footer Char"/>
    <w:basedOn w:val="DefaultParagraphFont"/>
    <w:link w:val="Footer"/>
    <w:uiPriority w:val="99"/>
    <w:rsid w:val="009738FA"/>
  </w:style>
  <w:style w:type="paragraph" w:styleId="Title">
    <w:name w:val="Title"/>
    <w:basedOn w:val="Normal"/>
    <w:next w:val="Normal"/>
    <w:link w:val="TitleChar"/>
    <w:uiPriority w:val="10"/>
    <w:qFormat/>
    <w:rsid w:val="00F52CC3"/>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F52CC3"/>
    <w:rPr>
      <w:rFonts w:ascii="Segoe UI Black" w:eastAsiaTheme="majorEastAsia" w:hAnsi="Segoe UI Black" w:cs="Segoe UI"/>
      <w:spacing w:val="-10"/>
      <w:kern w:val="28"/>
      <w:sz w:val="48"/>
      <w:szCs w:val="48"/>
    </w:rPr>
  </w:style>
  <w:style w:type="paragraph" w:customStyle="1" w:styleId="Warrantyprocess">
    <w:name w:val="Warranty process"/>
    <w:basedOn w:val="paragraph"/>
    <w:qFormat/>
    <w:rsid w:val="00193BD8"/>
    <w:pPr>
      <w:spacing w:before="120" w:after="120"/>
      <w:jc w:val="center"/>
      <w:textAlignment w:val="baseline"/>
    </w:pPr>
    <w:rPr>
      <w:b/>
      <w:bCs/>
      <w:color w:val="FF0000"/>
      <w:sz w:val="44"/>
      <w:szCs w:val="42"/>
    </w:rPr>
  </w:style>
  <w:style w:type="character" w:customStyle="1" w:styleId="Heading1Char">
    <w:name w:val="Heading 1 Char"/>
    <w:basedOn w:val="DefaultParagraphFont"/>
    <w:link w:val="Heading1"/>
    <w:uiPriority w:val="9"/>
    <w:rsid w:val="00193BD8"/>
    <w:rPr>
      <w:rFonts w:ascii="Segoe UI" w:eastAsiaTheme="majorEastAsia" w:hAnsi="Segoe UI" w:cs="Segoe UI"/>
      <w:b/>
      <w:bCs/>
      <w:color w:val="000000" w:themeColor="text1"/>
      <w:sz w:val="28"/>
      <w:szCs w:val="28"/>
    </w:rPr>
  </w:style>
  <w:style w:type="paragraph" w:customStyle="1" w:styleId="PageNumber1">
    <w:name w:val="Page Number1"/>
    <w:basedOn w:val="Normal"/>
    <w:autoRedefine/>
    <w:qFormat/>
    <w:rsid w:val="007A6AF1"/>
    <w:pPr>
      <w:tabs>
        <w:tab w:val="left" w:pos="6120"/>
      </w:tabs>
      <w:spacing w:line="240" w:lineRule="auto"/>
    </w:pPr>
    <w:rPr>
      <w:sz w:val="16"/>
      <w:szCs w:val="16"/>
    </w:rPr>
  </w:style>
  <w:style w:type="character" w:customStyle="1" w:styleId="ui-provider">
    <w:name w:val="ui-provider"/>
    <w:basedOn w:val="DefaultParagraphFont"/>
    <w:rsid w:val="006E21AF"/>
  </w:style>
  <w:style w:type="character" w:styleId="FollowedHyperlink">
    <w:name w:val="FollowedHyperlink"/>
    <w:basedOn w:val="DefaultParagraphFont"/>
    <w:uiPriority w:val="99"/>
    <w:semiHidden/>
    <w:unhideWhenUsed/>
    <w:rsid w:val="00817A45"/>
    <w:rPr>
      <w:color w:val="954F72" w:themeColor="followedHyperlink"/>
      <w:u w:val="single"/>
    </w:rPr>
  </w:style>
  <w:style w:type="character" w:styleId="Strong">
    <w:name w:val="Strong"/>
    <w:basedOn w:val="DefaultParagraphFont"/>
    <w:uiPriority w:val="22"/>
    <w:qFormat/>
    <w:rsid w:val="00974AE3"/>
    <w:rPr>
      <w:b/>
      <w:bCs/>
    </w:rPr>
  </w:style>
  <w:style w:type="character" w:customStyle="1" w:styleId="Heading2Char">
    <w:name w:val="Heading 2 Char"/>
    <w:basedOn w:val="DefaultParagraphFont"/>
    <w:link w:val="Heading2"/>
    <w:uiPriority w:val="9"/>
    <w:semiHidden/>
    <w:rsid w:val="00404F0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04F01"/>
    <w:pPr>
      <w:tabs>
        <w:tab w:val="clear" w:pos="2528"/>
      </w:tabs>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122">
      <w:bodyDiv w:val="1"/>
      <w:marLeft w:val="0"/>
      <w:marRight w:val="0"/>
      <w:marTop w:val="0"/>
      <w:marBottom w:val="0"/>
      <w:divBdr>
        <w:top w:val="none" w:sz="0" w:space="0" w:color="auto"/>
        <w:left w:val="none" w:sz="0" w:space="0" w:color="auto"/>
        <w:bottom w:val="none" w:sz="0" w:space="0" w:color="auto"/>
        <w:right w:val="none" w:sz="0" w:space="0" w:color="auto"/>
      </w:divBdr>
    </w:div>
    <w:div w:id="1153595174">
      <w:bodyDiv w:val="1"/>
      <w:marLeft w:val="0"/>
      <w:marRight w:val="0"/>
      <w:marTop w:val="0"/>
      <w:marBottom w:val="0"/>
      <w:divBdr>
        <w:top w:val="none" w:sz="0" w:space="0" w:color="auto"/>
        <w:left w:val="none" w:sz="0" w:space="0" w:color="auto"/>
        <w:bottom w:val="none" w:sz="0" w:space="0" w:color="auto"/>
        <w:right w:val="none" w:sz="0" w:space="0" w:color="auto"/>
      </w:divBdr>
      <w:divsChild>
        <w:div w:id="278538022">
          <w:marLeft w:val="0"/>
          <w:marRight w:val="0"/>
          <w:marTop w:val="0"/>
          <w:marBottom w:val="0"/>
          <w:divBdr>
            <w:top w:val="none" w:sz="0" w:space="0" w:color="auto"/>
            <w:left w:val="none" w:sz="0" w:space="0" w:color="auto"/>
            <w:bottom w:val="none" w:sz="0" w:space="0" w:color="auto"/>
            <w:right w:val="none" w:sz="0" w:space="0" w:color="auto"/>
          </w:divBdr>
        </w:div>
        <w:div w:id="316303481">
          <w:marLeft w:val="0"/>
          <w:marRight w:val="0"/>
          <w:marTop w:val="0"/>
          <w:marBottom w:val="0"/>
          <w:divBdr>
            <w:top w:val="none" w:sz="0" w:space="0" w:color="auto"/>
            <w:left w:val="none" w:sz="0" w:space="0" w:color="auto"/>
            <w:bottom w:val="none" w:sz="0" w:space="0" w:color="auto"/>
            <w:right w:val="none" w:sz="0" w:space="0" w:color="auto"/>
          </w:divBdr>
        </w:div>
      </w:divsChild>
    </w:div>
    <w:div w:id="1509981066">
      <w:bodyDiv w:val="1"/>
      <w:marLeft w:val="0"/>
      <w:marRight w:val="0"/>
      <w:marTop w:val="0"/>
      <w:marBottom w:val="0"/>
      <w:divBdr>
        <w:top w:val="none" w:sz="0" w:space="0" w:color="auto"/>
        <w:left w:val="none" w:sz="0" w:space="0" w:color="auto"/>
        <w:bottom w:val="none" w:sz="0" w:space="0" w:color="auto"/>
        <w:right w:val="none" w:sz="0" w:space="0" w:color="auto"/>
      </w:divBdr>
    </w:div>
    <w:div w:id="1906647798">
      <w:bodyDiv w:val="1"/>
      <w:marLeft w:val="0"/>
      <w:marRight w:val="0"/>
      <w:marTop w:val="0"/>
      <w:marBottom w:val="0"/>
      <w:divBdr>
        <w:top w:val="none" w:sz="0" w:space="0" w:color="auto"/>
        <w:left w:val="none" w:sz="0" w:space="0" w:color="auto"/>
        <w:bottom w:val="none" w:sz="0" w:space="0" w:color="auto"/>
        <w:right w:val="none" w:sz="0" w:space="0" w:color="auto"/>
      </w:divBdr>
    </w:div>
    <w:div w:id="20358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serviceshub.microsoft.com/supportforbusiness/onboarding?origin=/supportforbusiness/crea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microsoft.com/fwlink/?linkid=21094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serviceshub.microsoft.com/supportforbusiness/onboarding?origin=/supportforbusiness/crea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serviceshub.microsoft.com/supportforbusines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e8ec03-380c-489a-b7ea-53024d56db85">
      <Terms xmlns="http://schemas.microsoft.com/office/infopath/2007/PartnerControls"/>
    </lcf76f155ced4ddcb4097134ff3c332f>
    <TaxCatchAll xmlns="af67fe0c-8057-4400-a4d7-4067227705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6C337-3921-4FA6-B9A5-AF73FE8F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8ec03-380c-489a-b7ea-53024d56db85"/>
    <ds:schemaRef ds:uri="af67fe0c-8057-4400-a4d7-406722770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91893-2304-49DF-AF9B-A82578E031D8}">
  <ds:schemaRefs>
    <ds:schemaRef ds:uri="http://schemas.openxmlformats.org/officeDocument/2006/bibliography"/>
  </ds:schemaRefs>
</ds:datastoreItem>
</file>

<file path=customXml/itemProps3.xml><?xml version="1.0" encoding="utf-8"?>
<ds:datastoreItem xmlns:ds="http://schemas.openxmlformats.org/officeDocument/2006/customXml" ds:itemID="{54B83A0E-3979-43AF-A690-336A471990DD}">
  <ds:schemaRefs>
    <ds:schemaRef ds:uri="http://schemas.microsoft.com/office/2006/metadata/properties"/>
    <ds:schemaRef ds:uri="http://schemas.microsoft.com/office/infopath/2007/PartnerControls"/>
    <ds:schemaRef ds:uri="b9e8ec03-380c-489a-b7ea-53024d56db85"/>
    <ds:schemaRef ds:uri="af67fe0c-8057-4400-a4d7-40672277050e"/>
  </ds:schemaRefs>
</ds:datastoreItem>
</file>

<file path=customXml/itemProps4.xml><?xml version="1.0" encoding="utf-8"?>
<ds:datastoreItem xmlns:ds="http://schemas.openxmlformats.org/officeDocument/2006/customXml" ds:itemID="{0A28AED5-95AF-40C8-AC51-496700EC1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Macalintal</dc:creator>
  <cp:keywords/>
  <dc:description/>
  <cp:lastModifiedBy>Louis Ng</cp:lastModifiedBy>
  <cp:revision>32</cp:revision>
  <dcterms:created xsi:type="dcterms:W3CDTF">2023-08-30T23:58:00Z</dcterms:created>
  <dcterms:modified xsi:type="dcterms:W3CDTF">2023-09-07T21:01:00Z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