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1051" w14:textId="77777777" w:rsidR="00F15F42" w:rsidRDefault="00F15F42" w:rsidP="00F15F42">
      <w:pPr>
        <w:shd w:val="clear" w:color="auto" w:fill="FFFFFF"/>
        <w:spacing w:line="288" w:lineRule="atLeast"/>
        <w:ind w:left="720" w:hanging="360"/>
        <w:rPr>
          <w:rFonts w:ascii="MetricHPEXS" w:hAnsi="MetricHPEXS"/>
          <w:sz w:val="32"/>
          <w:szCs w:val="32"/>
        </w:rPr>
      </w:pPr>
      <w:r>
        <w:rPr>
          <w:rFonts w:ascii="MetricHPEXS" w:hAnsi="MetricHPEXS"/>
          <w:noProof/>
          <w:sz w:val="24"/>
          <w:szCs w:val="24"/>
          <w:lang w:val="en-US"/>
        </w:rPr>
        <w:drawing>
          <wp:inline distT="0" distB="0" distL="0" distR="0" wp14:anchorId="4AF0F297" wp14:editId="18976047">
            <wp:extent cx="1819275" cy="756112"/>
            <wp:effectExtent l="0" t="0" r="0" b="635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574" cy="76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tricHPEXS" w:hAnsi="MetricHPEXS"/>
          <w:sz w:val="32"/>
          <w:szCs w:val="32"/>
        </w:rPr>
        <w:br/>
      </w:r>
    </w:p>
    <w:p w14:paraId="4A1A0827" w14:textId="51AF45DD" w:rsidR="0046072C" w:rsidRPr="0046072C" w:rsidRDefault="0046072C" w:rsidP="00F15F42">
      <w:pPr>
        <w:shd w:val="clear" w:color="auto" w:fill="FFFFFF"/>
        <w:spacing w:line="288" w:lineRule="atLeast"/>
        <w:ind w:left="360"/>
        <w:rPr>
          <w:rFonts w:ascii="MetricHPEXS" w:hAnsi="MetricHPEXS"/>
          <w:sz w:val="32"/>
          <w:szCs w:val="32"/>
        </w:rPr>
      </w:pPr>
      <w:r w:rsidRPr="0046072C">
        <w:rPr>
          <w:rFonts w:ascii="MetricHPEXS" w:hAnsi="MetricHPEXS"/>
          <w:sz w:val="32"/>
          <w:szCs w:val="32"/>
        </w:rPr>
        <w:t>ENGAGE &amp; GROW PROGRAM</w:t>
      </w:r>
      <w:r>
        <w:rPr>
          <w:rFonts w:ascii="MetricHPEXS" w:hAnsi="MetricHPEXS"/>
          <w:sz w:val="32"/>
          <w:szCs w:val="32"/>
        </w:rPr>
        <w:br/>
      </w:r>
      <w:r w:rsidRPr="0046072C">
        <w:rPr>
          <w:rFonts w:ascii="MetricHPEXS" w:hAnsi="MetricHPEXS"/>
          <w:sz w:val="32"/>
          <w:szCs w:val="32"/>
        </w:rPr>
        <w:t>How it works</w:t>
      </w:r>
    </w:p>
    <w:p w14:paraId="16E98166" w14:textId="77777777" w:rsidR="0046072C" w:rsidRDefault="0046072C" w:rsidP="0046072C">
      <w:pPr>
        <w:pStyle w:val="NormalWeb"/>
        <w:shd w:val="clear" w:color="auto" w:fill="FFFFFF"/>
        <w:spacing w:before="0" w:beforeAutospacing="0" w:line="288" w:lineRule="atLeast"/>
        <w:ind w:left="720"/>
        <w:rPr>
          <w:rFonts w:ascii="MetricHPEXS" w:hAnsi="MetricHPEXS" w:cs="Arial"/>
          <w:color w:val="000000"/>
        </w:rPr>
      </w:pPr>
    </w:p>
    <w:p w14:paraId="74FBD41D" w14:textId="63B7A2B2" w:rsidR="0046072C" w:rsidRPr="0046072C" w:rsidRDefault="0046072C" w:rsidP="0046072C">
      <w:pPr>
        <w:pStyle w:val="NormalWeb"/>
        <w:numPr>
          <w:ilvl w:val="0"/>
          <w:numId w:val="6"/>
        </w:numPr>
        <w:shd w:val="clear" w:color="auto" w:fill="FFFFFF"/>
        <w:spacing w:before="0" w:beforeAutospacing="0" w:line="288" w:lineRule="atLeast"/>
        <w:rPr>
          <w:rFonts w:ascii="MetricHPEXS" w:hAnsi="MetricHPEXS" w:cs="Arial"/>
          <w:color w:val="000000"/>
        </w:rPr>
      </w:pPr>
      <w:r w:rsidRPr="0046072C">
        <w:rPr>
          <w:rFonts w:ascii="MetricHPEXS" w:hAnsi="MetricHPEXS" w:cs="Arial"/>
          <w:color w:val="000000"/>
        </w:rPr>
        <w:t>Sign Up</w:t>
      </w:r>
      <w:r>
        <w:rPr>
          <w:rFonts w:ascii="MetricHPEXS" w:hAnsi="MetricHPEXS" w:cs="Arial"/>
          <w:color w:val="000000"/>
        </w:rPr>
        <w:br/>
      </w:r>
      <w:r w:rsidRPr="0046072C">
        <w:rPr>
          <w:rFonts w:ascii="MetricHPEXS" w:hAnsi="MetricHPEXS" w:cs="Arial"/>
          <w:color w:val="000000"/>
        </w:rPr>
        <w:br/>
      </w:r>
      <w:r w:rsidRPr="0046072C">
        <w:rPr>
          <w:rFonts w:ascii="MetricHPEXS" w:hAnsi="MetricHPEXS" w:cs="Arial"/>
          <w:color w:val="000000"/>
        </w:rPr>
        <w:t>First person from your company to register will be assigned the Reseller Administrator role automatically.</w:t>
      </w:r>
      <w:r>
        <w:rPr>
          <w:rFonts w:ascii="MetricHPEXS" w:hAnsi="MetricHPEXS" w:cs="Arial"/>
          <w:color w:val="000000"/>
        </w:rPr>
        <w:br/>
      </w:r>
      <w:r>
        <w:rPr>
          <w:rFonts w:ascii="MetricHPEXS" w:hAnsi="MetricHPEXS" w:cs="Arial"/>
          <w:color w:val="000000"/>
        </w:rPr>
        <w:br/>
      </w:r>
      <w:r w:rsidRPr="0046072C">
        <w:rPr>
          <w:rFonts w:ascii="MetricHPEXS" w:hAnsi="MetricHPEXS" w:cs="Arial"/>
          <w:color w:val="000000"/>
        </w:rPr>
        <w:t xml:space="preserve">Please keep in mind that the program is intended for HPE Distributor, Platinum, Gold, </w:t>
      </w:r>
      <w:proofErr w:type="gramStart"/>
      <w:r w:rsidRPr="0046072C">
        <w:rPr>
          <w:rFonts w:ascii="MetricHPEXS" w:hAnsi="MetricHPEXS" w:cs="Arial"/>
          <w:color w:val="000000"/>
        </w:rPr>
        <w:t>Silver</w:t>
      </w:r>
      <w:proofErr w:type="gramEnd"/>
      <w:r w:rsidRPr="0046072C">
        <w:rPr>
          <w:rFonts w:ascii="MetricHPEXS" w:hAnsi="MetricHPEXS" w:cs="Arial"/>
          <w:color w:val="000000"/>
        </w:rPr>
        <w:t xml:space="preserve"> and Business partners.</w:t>
      </w:r>
      <w:r>
        <w:rPr>
          <w:rFonts w:ascii="MetricHPEXS" w:hAnsi="MetricHPEXS" w:cs="Arial"/>
          <w:color w:val="000000"/>
        </w:rPr>
        <w:br/>
      </w:r>
    </w:p>
    <w:p w14:paraId="5B3B78B7" w14:textId="03DA210E" w:rsidR="0046072C" w:rsidRPr="0046072C" w:rsidRDefault="0046072C" w:rsidP="0046072C">
      <w:pPr>
        <w:pStyle w:val="ListParagraph"/>
        <w:numPr>
          <w:ilvl w:val="0"/>
          <w:numId w:val="6"/>
        </w:numPr>
        <w:rPr>
          <w:rFonts w:ascii="MetricHPEXS" w:hAnsi="MetricHPEXS"/>
          <w:sz w:val="24"/>
          <w:szCs w:val="24"/>
          <w:lang w:val="en-US"/>
        </w:rPr>
      </w:pPr>
      <w:r w:rsidRPr="0046072C">
        <w:rPr>
          <w:rFonts w:ascii="MetricHPEXS" w:hAnsi="MetricHPEXS"/>
          <w:sz w:val="24"/>
          <w:szCs w:val="24"/>
          <w:lang w:val="en-US"/>
        </w:rPr>
        <w:t>Invite Colleagues</w:t>
      </w:r>
    </w:p>
    <w:p w14:paraId="43BD2593" w14:textId="51CA1CE0" w:rsidR="0046072C" w:rsidRPr="0046072C" w:rsidRDefault="0046072C" w:rsidP="0046072C">
      <w:pPr>
        <w:pStyle w:val="NormalWeb"/>
        <w:shd w:val="clear" w:color="auto" w:fill="FFFFFF"/>
        <w:spacing w:before="0" w:beforeAutospacing="0" w:line="288" w:lineRule="atLeast"/>
        <w:ind w:left="720"/>
        <w:rPr>
          <w:rFonts w:ascii="MetricHPEXS" w:hAnsi="MetricHPEXS" w:cs="Arial"/>
          <w:color w:val="000000"/>
        </w:rPr>
      </w:pPr>
      <w:r w:rsidRPr="0046072C">
        <w:rPr>
          <w:rFonts w:ascii="MetricHPEXS" w:hAnsi="MetricHPEXS" w:cs="Arial"/>
          <w:color w:val="000000"/>
        </w:rPr>
        <w:t xml:space="preserve">The first person who registered the company will be responsible for the program. He/she automatically gets the reseller admin role with extra privileges assigned. Role can be assigned to another member in the same company </w:t>
      </w:r>
      <w:proofErr w:type="gramStart"/>
      <w:r w:rsidRPr="0046072C">
        <w:rPr>
          <w:rFonts w:ascii="MetricHPEXS" w:hAnsi="MetricHPEXS" w:cs="Arial"/>
          <w:color w:val="000000"/>
        </w:rPr>
        <w:t>at a later time</w:t>
      </w:r>
      <w:proofErr w:type="gramEnd"/>
      <w:r w:rsidRPr="0046072C">
        <w:rPr>
          <w:rFonts w:ascii="MetricHPEXS" w:hAnsi="MetricHPEXS" w:cs="Arial"/>
          <w:color w:val="000000"/>
        </w:rPr>
        <w:t>.</w:t>
      </w:r>
      <w:r>
        <w:rPr>
          <w:rFonts w:ascii="MetricHPEXS" w:hAnsi="MetricHPEXS" w:cs="Arial"/>
          <w:color w:val="000000"/>
        </w:rPr>
        <w:br/>
      </w:r>
      <w:r>
        <w:rPr>
          <w:rFonts w:ascii="MetricHPEXS" w:hAnsi="MetricHPEXS" w:cs="Arial"/>
          <w:color w:val="000000"/>
        </w:rPr>
        <w:br/>
      </w:r>
      <w:r w:rsidRPr="0046072C">
        <w:rPr>
          <w:rFonts w:ascii="MetricHPEXS" w:hAnsi="MetricHPEXS" w:cs="Arial"/>
          <w:color w:val="000000"/>
        </w:rPr>
        <w:t xml:space="preserve">Once Portal Administrator is onboard. It’s time to invite your other sales rep colleagues by using the “company management” menu. By sending out an invitation, your colleagues will receive an e-mail with an invitation code to enter the Engage &amp; Grow portal. A minimum of 2 members per company is required in order for some </w:t>
      </w:r>
      <w:proofErr w:type="gramStart"/>
      <w:r w:rsidRPr="0046072C">
        <w:rPr>
          <w:rFonts w:ascii="MetricHPEXS" w:hAnsi="MetricHPEXS" w:cs="Arial"/>
          <w:color w:val="000000"/>
        </w:rPr>
        <w:t>task</w:t>
      </w:r>
      <w:proofErr w:type="gramEnd"/>
      <w:r w:rsidRPr="0046072C">
        <w:rPr>
          <w:rFonts w:ascii="MetricHPEXS" w:hAnsi="MetricHPEXS" w:cs="Arial"/>
          <w:color w:val="000000"/>
        </w:rPr>
        <w:t xml:space="preserve"> to be performed.</w:t>
      </w:r>
    </w:p>
    <w:p w14:paraId="374223E5" w14:textId="5E1DC06E" w:rsidR="0046072C" w:rsidRPr="0046072C" w:rsidRDefault="0046072C" w:rsidP="0046072C">
      <w:pPr>
        <w:pStyle w:val="ListParagraph"/>
        <w:numPr>
          <w:ilvl w:val="0"/>
          <w:numId w:val="6"/>
        </w:numPr>
        <w:rPr>
          <w:rFonts w:ascii="MetricHPEXS" w:hAnsi="MetricHPEXS"/>
          <w:sz w:val="24"/>
          <w:szCs w:val="24"/>
          <w:lang w:val="en-US"/>
        </w:rPr>
      </w:pPr>
      <w:r w:rsidRPr="0046072C">
        <w:rPr>
          <w:rFonts w:ascii="MetricHPEXS" w:hAnsi="MetricHPEXS"/>
          <w:sz w:val="24"/>
          <w:szCs w:val="24"/>
          <w:lang w:val="en-US"/>
        </w:rPr>
        <w:t>Complete Survey</w:t>
      </w:r>
    </w:p>
    <w:p w14:paraId="1E880A65" w14:textId="77777777" w:rsidR="0046072C" w:rsidRPr="0046072C" w:rsidRDefault="0046072C" w:rsidP="0046072C">
      <w:pPr>
        <w:pStyle w:val="NormalWeb"/>
        <w:shd w:val="clear" w:color="auto" w:fill="FFFFFF"/>
        <w:spacing w:before="0" w:beforeAutospacing="0" w:line="288" w:lineRule="atLeast"/>
        <w:ind w:left="720"/>
        <w:rPr>
          <w:rFonts w:ascii="MetricHPEXS" w:hAnsi="MetricHPEXS" w:cs="Arial"/>
          <w:color w:val="000000"/>
        </w:rPr>
      </w:pPr>
      <w:r w:rsidRPr="0046072C">
        <w:rPr>
          <w:rFonts w:ascii="MetricHPEXS" w:hAnsi="MetricHPEXS" w:cs="Arial"/>
          <w:color w:val="000000"/>
        </w:rPr>
        <w:t>To actively participate in HPE ENGAGE &amp; GROW incentives, Portal Administrator need to complete the HPE ENGAGE &amp; GROW Partner Survey. The survey can be found in the portal and takes 10-15 minutes to complete.</w:t>
      </w:r>
    </w:p>
    <w:p w14:paraId="6CDBCCCD" w14:textId="49C756D5" w:rsidR="0046072C" w:rsidRPr="0046072C" w:rsidRDefault="0046072C" w:rsidP="0046072C">
      <w:pPr>
        <w:pStyle w:val="NormalWeb"/>
        <w:shd w:val="clear" w:color="auto" w:fill="FFFFFF"/>
        <w:spacing w:before="0" w:beforeAutospacing="0" w:line="288" w:lineRule="atLeast"/>
        <w:ind w:left="720"/>
        <w:rPr>
          <w:rFonts w:ascii="MetricHPEXS" w:hAnsi="MetricHPEXS" w:cs="Arial"/>
          <w:color w:val="000000"/>
        </w:rPr>
      </w:pPr>
      <w:r w:rsidRPr="0046072C">
        <w:rPr>
          <w:rFonts w:ascii="MetricHPEXS" w:hAnsi="MetricHPEXS" w:cs="Arial"/>
          <w:color w:val="000000"/>
        </w:rPr>
        <w:t>The information you share will be used to ensure suitable products and material are provided to support your sales efforts.</w:t>
      </w:r>
    </w:p>
    <w:p w14:paraId="6B620D15" w14:textId="3656A889" w:rsidR="0046072C" w:rsidRPr="0046072C" w:rsidRDefault="0046072C" w:rsidP="0046072C">
      <w:pPr>
        <w:pStyle w:val="ListParagraph"/>
        <w:numPr>
          <w:ilvl w:val="0"/>
          <w:numId w:val="6"/>
        </w:numPr>
        <w:rPr>
          <w:rFonts w:ascii="MetricHPEXS" w:hAnsi="MetricHPEXS"/>
          <w:sz w:val="24"/>
          <w:szCs w:val="24"/>
          <w:lang w:val="en-US"/>
        </w:rPr>
      </w:pPr>
      <w:r w:rsidRPr="0046072C">
        <w:rPr>
          <w:rFonts w:ascii="MetricHPEXS" w:hAnsi="MetricHPEXS"/>
          <w:sz w:val="24"/>
          <w:szCs w:val="24"/>
          <w:lang w:val="en-US"/>
        </w:rPr>
        <w:t>Order Your Engage &amp; Grow Debit Card</w:t>
      </w:r>
    </w:p>
    <w:p w14:paraId="7FC91199" w14:textId="77777777" w:rsidR="0046072C" w:rsidRPr="0046072C" w:rsidRDefault="0046072C" w:rsidP="0046072C">
      <w:pPr>
        <w:pStyle w:val="ListParagraph"/>
        <w:shd w:val="clear" w:color="auto" w:fill="FFFFFF"/>
        <w:spacing w:after="100" w:afterAutospacing="1" w:line="288" w:lineRule="atLeast"/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</w:pPr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>One Debit Card for every participating sales rep in your company.</w:t>
      </w:r>
    </w:p>
    <w:p w14:paraId="5D6A1DC4" w14:textId="16C3496F" w:rsidR="0046072C" w:rsidRPr="0046072C" w:rsidRDefault="0046072C" w:rsidP="0046072C">
      <w:pPr>
        <w:pStyle w:val="ListParagraph"/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</w:pPr>
      <w:r w:rsidRPr="0046072C"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t xml:space="preserve">*Usage of Debit Card is applicable to Australia, Hong Kong, Korea, Malaysia, New Zealand, Singapore, Philippines, Taiwan, Thailand, </w:t>
      </w:r>
      <w:proofErr w:type="gramStart"/>
      <w:r w:rsidRPr="0046072C"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t>Vietnam</w:t>
      </w:r>
      <w:proofErr w:type="gramEnd"/>
      <w:r w:rsidRPr="0046072C"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t xml:space="preserve"> and Sri Lanka.</w:t>
      </w:r>
      <w:r w:rsidRPr="0046072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Z"/>
        </w:rPr>
        <w:t> </w:t>
      </w:r>
      <w:r w:rsidRPr="0046072C"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t xml:space="preserve">Catalogue redemption is available for Bangladesh, Brunei Darussalam, Indonesia, Laos, Macao, Maldives, Myanmar, Nepal, Timor </w:t>
      </w:r>
      <w:proofErr w:type="spellStart"/>
      <w:r w:rsidRPr="0046072C"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t>Leste</w:t>
      </w:r>
      <w:proofErr w:type="spellEnd"/>
      <w:r w:rsidRPr="0046072C"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t xml:space="preserve">, </w:t>
      </w:r>
      <w:proofErr w:type="gramStart"/>
      <w:r w:rsidRPr="0046072C"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t>Pakistan</w:t>
      </w:r>
      <w:proofErr w:type="gramEnd"/>
      <w:r w:rsidRPr="0046072C"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t xml:space="preserve"> and Papua New Guinea.</w:t>
      </w:r>
      <w:r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br/>
      </w:r>
    </w:p>
    <w:p w14:paraId="7C382AE7" w14:textId="11D2D050" w:rsidR="0046072C" w:rsidRPr="0046072C" w:rsidRDefault="0046072C" w:rsidP="0046072C">
      <w:pPr>
        <w:pStyle w:val="ListParagraph"/>
        <w:numPr>
          <w:ilvl w:val="0"/>
          <w:numId w:val="6"/>
        </w:numPr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</w:pPr>
      <w:r w:rsidRPr="0046072C">
        <w:rPr>
          <w:rFonts w:ascii="MetricHPEXS" w:eastAsia="Times New Roman" w:hAnsi="MetricHPEXS" w:cs="Arial"/>
          <w:color w:val="000000"/>
          <w:sz w:val="24"/>
          <w:szCs w:val="24"/>
          <w:shd w:val="clear" w:color="auto" w:fill="FFFFFF"/>
          <w:lang w:eastAsia="en-NZ"/>
        </w:rPr>
        <w:t>Collect Bonus Points</w:t>
      </w:r>
    </w:p>
    <w:p w14:paraId="78E5023C" w14:textId="77777777" w:rsidR="0046072C" w:rsidRPr="0046072C" w:rsidRDefault="0046072C" w:rsidP="0046072C">
      <w:pPr>
        <w:pStyle w:val="NormalWeb"/>
        <w:shd w:val="clear" w:color="auto" w:fill="FFFFFF"/>
        <w:spacing w:before="0" w:beforeAutospacing="0" w:line="288" w:lineRule="atLeast"/>
        <w:ind w:left="720"/>
        <w:rPr>
          <w:rFonts w:ascii="MetricHPEXS" w:hAnsi="MetricHPEXS" w:cs="Arial"/>
          <w:color w:val="000000"/>
        </w:rPr>
      </w:pPr>
      <w:r w:rsidRPr="0046072C">
        <w:rPr>
          <w:rFonts w:ascii="MetricHPEXS" w:hAnsi="MetricHPEXS" w:cs="Arial"/>
          <w:color w:val="000000"/>
        </w:rPr>
        <w:t xml:space="preserve">Sell HPE products and participate in product trainings to earn </w:t>
      </w:r>
      <w:proofErr w:type="spellStart"/>
      <w:r w:rsidRPr="0046072C">
        <w:rPr>
          <w:rFonts w:ascii="MetricHPEXS" w:hAnsi="MetricHPEXS" w:cs="Arial"/>
          <w:color w:val="000000"/>
        </w:rPr>
        <w:t>BonusPoints</w:t>
      </w:r>
      <w:proofErr w:type="spellEnd"/>
      <w:r w:rsidRPr="0046072C">
        <w:rPr>
          <w:rFonts w:ascii="MetricHPEXS" w:hAnsi="MetricHPEXS" w:cs="Arial"/>
          <w:color w:val="000000"/>
        </w:rPr>
        <w:t>.</w:t>
      </w:r>
    </w:p>
    <w:p w14:paraId="0493B335" w14:textId="77777777" w:rsidR="0046072C" w:rsidRPr="0046072C" w:rsidRDefault="0046072C" w:rsidP="0046072C">
      <w:pPr>
        <w:pStyle w:val="NormalWeb"/>
        <w:shd w:val="clear" w:color="auto" w:fill="FFFFFF"/>
        <w:spacing w:before="0" w:beforeAutospacing="0" w:line="288" w:lineRule="atLeast"/>
        <w:ind w:left="720"/>
        <w:rPr>
          <w:rFonts w:ascii="MetricHPEXS" w:hAnsi="MetricHPEXS" w:cs="Arial"/>
          <w:color w:val="000000"/>
        </w:rPr>
      </w:pPr>
      <w:r w:rsidRPr="0046072C">
        <w:rPr>
          <w:rFonts w:ascii="MetricHPEXS" w:hAnsi="MetricHPEXS" w:cs="Arial"/>
          <w:color w:val="000000"/>
        </w:rPr>
        <w:lastRenderedPageBreak/>
        <w:t>Make sure you receive the HPE ENGAGE &amp; GROW newsletter, so you don’t miss any special opportunities or important information regarding the program.</w:t>
      </w:r>
    </w:p>
    <w:p w14:paraId="69B8D0B3" w14:textId="0B0AF655" w:rsidR="0046072C" w:rsidRPr="0046072C" w:rsidRDefault="0046072C" w:rsidP="0046072C">
      <w:pPr>
        <w:pStyle w:val="ListParagraph"/>
        <w:numPr>
          <w:ilvl w:val="0"/>
          <w:numId w:val="6"/>
        </w:numPr>
        <w:shd w:val="clear" w:color="auto" w:fill="FFFFFF"/>
        <w:spacing w:line="288" w:lineRule="atLeast"/>
        <w:outlineLvl w:val="3"/>
        <w:rPr>
          <w:rFonts w:ascii="MetricHPEXS" w:eastAsia="Times New Roman" w:hAnsi="MetricHPEXS" w:cs="Arial"/>
          <w:color w:val="000000"/>
          <w:spacing w:val="2"/>
          <w:sz w:val="24"/>
          <w:szCs w:val="24"/>
          <w:lang w:eastAsia="en-NZ"/>
        </w:rPr>
      </w:pPr>
      <w:r w:rsidRPr="0046072C">
        <w:rPr>
          <w:rFonts w:ascii="MetricHPEXS" w:eastAsia="Times New Roman" w:hAnsi="MetricHPEXS" w:cs="Arial"/>
          <w:color w:val="000000"/>
          <w:spacing w:val="2"/>
          <w:sz w:val="24"/>
          <w:szCs w:val="24"/>
          <w:lang w:eastAsia="en-NZ"/>
        </w:rPr>
        <w:t xml:space="preserve">Earn And </w:t>
      </w:r>
      <w:proofErr w:type="gramStart"/>
      <w:r w:rsidRPr="0046072C">
        <w:rPr>
          <w:rFonts w:ascii="MetricHPEXS" w:eastAsia="Times New Roman" w:hAnsi="MetricHPEXS" w:cs="Arial"/>
          <w:color w:val="000000"/>
          <w:spacing w:val="2"/>
          <w:sz w:val="24"/>
          <w:szCs w:val="24"/>
          <w:lang w:eastAsia="en-NZ"/>
        </w:rPr>
        <w:t>Spend</w:t>
      </w:r>
      <w:proofErr w:type="gramEnd"/>
      <w:r w:rsidRPr="0046072C">
        <w:rPr>
          <w:rFonts w:ascii="MetricHPEXS" w:eastAsia="Times New Roman" w:hAnsi="MetricHPEXS" w:cs="Arial"/>
          <w:color w:val="000000"/>
          <w:spacing w:val="2"/>
          <w:sz w:val="24"/>
          <w:szCs w:val="24"/>
          <w:lang w:eastAsia="en-NZ"/>
        </w:rPr>
        <w:t>!</w:t>
      </w:r>
    </w:p>
    <w:p w14:paraId="722B43C2" w14:textId="5CE4F147" w:rsidR="0046072C" w:rsidRPr="0046072C" w:rsidRDefault="0046072C" w:rsidP="0046072C">
      <w:pPr>
        <w:pStyle w:val="ListParagraph"/>
        <w:shd w:val="clear" w:color="auto" w:fill="FFFFFF"/>
        <w:spacing w:after="100" w:afterAutospacing="1" w:line="288" w:lineRule="atLeast"/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</w:pPr>
      <w:r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br/>
      </w:r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>As soon as the HPE ENGAGE &amp; GROW quarter is over, the Portal Administrator will receive instructions how to allocate the earned points.</w:t>
      </w:r>
    </w:p>
    <w:p w14:paraId="00D3566D" w14:textId="56091559" w:rsidR="0046072C" w:rsidRPr="0046072C" w:rsidRDefault="0046072C" w:rsidP="0046072C">
      <w:pPr>
        <w:pStyle w:val="ListParagraph"/>
        <w:shd w:val="clear" w:color="auto" w:fill="FFFFFF"/>
        <w:spacing w:after="100" w:afterAutospacing="1" w:line="288" w:lineRule="atLeast"/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</w:pPr>
      <w:r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br/>
      </w:r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 xml:space="preserve">In most countries, the bonus point allocation consists of a transfer to the debit cards of individual sales reps. The sales rep receiving allocated bonus points, will then have to login to the Engage &amp; Grow portal and confirm the </w:t>
      </w:r>
      <w:proofErr w:type="spellStart"/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>BonusPoints</w:t>
      </w:r>
      <w:proofErr w:type="spellEnd"/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 xml:space="preserve"> within 30 days. If the process is confirmed, the </w:t>
      </w:r>
      <w:proofErr w:type="spellStart"/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>payout</w:t>
      </w:r>
      <w:proofErr w:type="spellEnd"/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 xml:space="preserve"> will occur.</w:t>
      </w:r>
    </w:p>
    <w:p w14:paraId="46A74B45" w14:textId="3584C808" w:rsidR="0046072C" w:rsidRPr="0046072C" w:rsidRDefault="0046072C" w:rsidP="0046072C">
      <w:pPr>
        <w:pStyle w:val="ListParagraph"/>
        <w:shd w:val="clear" w:color="auto" w:fill="FFFFFF"/>
        <w:spacing w:after="100" w:afterAutospacing="1" w:line="288" w:lineRule="atLeast"/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</w:pPr>
      <w:r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br/>
      </w:r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 xml:space="preserve">Or </w:t>
      </w:r>
      <w:proofErr w:type="gramStart"/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>Redeem</w:t>
      </w:r>
      <w:proofErr w:type="gramEnd"/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 xml:space="preserve"> their points in the specially design catalogue with vouchers that can be use conveniently.</w:t>
      </w:r>
    </w:p>
    <w:p w14:paraId="1AFF6E56" w14:textId="41FAA66F" w:rsidR="0046072C" w:rsidRPr="0046072C" w:rsidRDefault="0046072C" w:rsidP="0046072C">
      <w:pPr>
        <w:pStyle w:val="ListParagraph"/>
        <w:shd w:val="clear" w:color="auto" w:fill="FFFFFF"/>
        <w:spacing w:after="100" w:afterAutospacing="1" w:line="288" w:lineRule="atLeast"/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</w:pPr>
      <w:r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br/>
      </w:r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 xml:space="preserve">In all scenarios, the reseller admin </w:t>
      </w:r>
      <w:proofErr w:type="gramStart"/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>has to</w:t>
      </w:r>
      <w:proofErr w:type="gramEnd"/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 xml:space="preserve"> take action within 30 days of receiving the allocation notification, otherwise the earned points will be lost.</w:t>
      </w:r>
    </w:p>
    <w:p w14:paraId="54389722" w14:textId="47CFCDC2" w:rsidR="0046072C" w:rsidRPr="0046072C" w:rsidRDefault="0046072C" w:rsidP="0046072C">
      <w:pPr>
        <w:pStyle w:val="ListParagraph"/>
        <w:shd w:val="clear" w:color="auto" w:fill="FFFFFF"/>
        <w:spacing w:after="0" w:line="240" w:lineRule="auto"/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</w:pPr>
      <w:r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br/>
      </w:r>
      <w:r w:rsidRPr="0046072C">
        <w:rPr>
          <w:rFonts w:ascii="MetricHPEXS" w:eastAsia="Times New Roman" w:hAnsi="MetricHPEXS" w:cs="Arial"/>
          <w:color w:val="000000"/>
          <w:sz w:val="24"/>
          <w:szCs w:val="24"/>
          <w:lang w:eastAsia="en-NZ"/>
        </w:rPr>
        <w:t>*Only 1 way of spending the points is available in each country, either via debit card or redemption at the catalogue</w:t>
      </w:r>
    </w:p>
    <w:p w14:paraId="12B41C90" w14:textId="68C4398E" w:rsidR="0046072C" w:rsidRDefault="0046072C" w:rsidP="00F15F42">
      <w:pPr>
        <w:rPr>
          <w:rFonts w:ascii="MetricHPEXS" w:hAnsi="MetricHPEXS"/>
          <w:sz w:val="24"/>
          <w:szCs w:val="24"/>
          <w:lang w:val="en-US"/>
        </w:rPr>
      </w:pPr>
      <w:r>
        <w:rPr>
          <w:rFonts w:ascii="MetricHPEXS" w:hAnsi="MetricHPEXS"/>
          <w:sz w:val="24"/>
          <w:szCs w:val="24"/>
          <w:lang w:val="en-US"/>
        </w:rPr>
        <w:br/>
      </w:r>
      <w:r w:rsidR="00F15F42">
        <w:rPr>
          <w:rFonts w:ascii="MetricHPEXS" w:hAnsi="MetricHPEXS"/>
          <w:sz w:val="24"/>
          <w:szCs w:val="24"/>
          <w:lang w:val="en-US"/>
        </w:rPr>
        <w:br/>
      </w:r>
      <w:r w:rsidR="00F15F42">
        <w:rPr>
          <w:rFonts w:ascii="MetricHPEXS" w:hAnsi="MetricHPEXS"/>
          <w:noProof/>
          <w:sz w:val="24"/>
          <w:szCs w:val="24"/>
          <w:lang w:val="en-US"/>
        </w:rPr>
        <w:drawing>
          <wp:inline distT="0" distB="0" distL="0" distR="0" wp14:anchorId="4AE0EFAD" wp14:editId="3E673F9B">
            <wp:extent cx="1819275" cy="756112"/>
            <wp:effectExtent l="0" t="0" r="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574" cy="76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5D387" w14:textId="5236D5E1" w:rsidR="0029613B" w:rsidRPr="00F15F42" w:rsidRDefault="0046072C" w:rsidP="00F15F42">
      <w:pPr>
        <w:shd w:val="clear" w:color="auto" w:fill="FFFFFF"/>
        <w:spacing w:line="288" w:lineRule="atLeast"/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46072C">
        <w:rPr>
          <w:rFonts w:ascii="MetricHPEXS" w:hAnsi="MetricHPEXS"/>
          <w:sz w:val="32"/>
          <w:szCs w:val="32"/>
        </w:rPr>
        <w:t>ENGAGE &amp; GROW PROGRAM</w:t>
      </w:r>
      <w:r w:rsidR="00F15F42">
        <w:rPr>
          <w:rFonts w:ascii="MetricHPEXS" w:hAnsi="MetricHPEXS"/>
          <w:sz w:val="32"/>
          <w:szCs w:val="32"/>
        </w:rPr>
        <w:br/>
      </w:r>
      <w:r>
        <w:rPr>
          <w:rFonts w:ascii="MetricHPEXS" w:hAnsi="MetricHPEXS"/>
          <w:sz w:val="32"/>
          <w:szCs w:val="32"/>
        </w:rPr>
        <w:t>FAQ</w:t>
      </w:r>
      <w:r w:rsidRPr="0046072C">
        <w:rPr>
          <w:rFonts w:ascii="MetricHPEXS" w:hAnsi="MetricHPEXS"/>
          <w:sz w:val="24"/>
          <w:szCs w:val="24"/>
          <w:lang w:val="en-US"/>
        </w:rPr>
        <w:br/>
      </w: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The following answers and questions may vary in the participating countries.</w:t>
      </w:r>
    </w:p>
    <w:p w14:paraId="3C984001" w14:textId="37DC2BF9" w:rsidR="00F15F42" w:rsidRP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</w:p>
    <w:p w14:paraId="0BEFACE7" w14:textId="77777777" w:rsid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What is HPE Engage &amp; Grow Program?</w:t>
      </w:r>
    </w:p>
    <w:p w14:paraId="148FBF7C" w14:textId="485BFC6D" w:rsidR="00F15F42" w:rsidRPr="00F15F42" w:rsidRDefault="00F15F42" w:rsidP="00F15F42">
      <w:pPr>
        <w:pStyle w:val="ListParagraph"/>
        <w:numPr>
          <w:ilvl w:val="0"/>
          <w:numId w:val="7"/>
        </w:num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HPE ENGAGE &amp; GROW program aims to motivate sales team of HPE Partner Ready Resellers and Distributor in the SMB and Mid-Market through incentive program and e-trainings.</w:t>
      </w:r>
    </w:p>
    <w:p w14:paraId="345EDEAA" w14:textId="3690FE65" w:rsidR="00F15F42" w:rsidRP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</w:p>
    <w:p w14:paraId="0DC3F9CD" w14:textId="77777777" w:rsid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Who can take part in the HPE Engage &amp; Grow Program?</w:t>
      </w:r>
    </w:p>
    <w:p w14:paraId="737C2BF9" w14:textId="4CDB2269" w:rsidR="00F15F42" w:rsidRPr="00F15F42" w:rsidRDefault="00F15F42" w:rsidP="00F15F42">
      <w:pPr>
        <w:pStyle w:val="ListParagraph"/>
        <w:numPr>
          <w:ilvl w:val="0"/>
          <w:numId w:val="7"/>
        </w:num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HPE Engage &amp; Grow is available for all sales and presales representatives (SR and PR) from eligible HPE Partner Ready Resellers and distributor. An eligible Distributor and HPE Partner Ready Reseller is a company that has a T1 and T2 contract with HPE and has achieved Platinum, Gold, Silver, or Business Partner status within the HPE Partner Ready Program.</w:t>
      </w:r>
    </w:p>
    <w:p w14:paraId="41BAA5B3" w14:textId="30738DAF" w:rsidR="00F15F42" w:rsidRP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</w:p>
    <w:p w14:paraId="337B7CD1" w14:textId="77777777" w:rsid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How does HPE Engage &amp; Grow work?</w:t>
      </w:r>
    </w:p>
    <w:p w14:paraId="5C0F3B41" w14:textId="73D452DA" w:rsidR="00F15F42" w:rsidRPr="00F15F42" w:rsidRDefault="00F15F42" w:rsidP="00F15F42">
      <w:pPr>
        <w:pStyle w:val="ListParagraph"/>
        <w:numPr>
          <w:ilvl w:val="0"/>
          <w:numId w:val="7"/>
        </w:num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The first employee who logins to HPE ENGAGE &amp; GROW are automatically given the role as a Portal Administrator, subsequently member will login as user. Program capture reseller's eligible transaction with distributors and award points to resellers at the end of each quarter.</w:t>
      </w:r>
    </w:p>
    <w:p w14:paraId="57B158A2" w14:textId="49A22222" w:rsidR="00F15F42" w:rsidRP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</w:p>
    <w:p w14:paraId="67BC961C" w14:textId="77777777" w:rsid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How do I join HPE Engage &amp; Grow?</w:t>
      </w:r>
    </w:p>
    <w:p w14:paraId="6C043FAD" w14:textId="7916FC1A" w:rsidR="00F15F42" w:rsidRPr="00F15F42" w:rsidRDefault="00F15F42" w:rsidP="00F15F42">
      <w:pPr>
        <w:pStyle w:val="ListParagraph"/>
        <w:numPr>
          <w:ilvl w:val="0"/>
          <w:numId w:val="7"/>
        </w:num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To access HPE ENGAGE &amp; GROW, you must have an HPE Passport account. HPE Passport is a single sign-on service that let you use one user ID and password for all HPE Passport-enabled websites. </w:t>
      </w:r>
      <w: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br/>
      </w: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To set up an account, visit</w:t>
      </w:r>
      <w:r w:rsidRPr="00F15F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F15F42">
          <w:rPr>
            <w:rStyle w:val="Hyperlink"/>
            <w:rFonts w:ascii="MetricHPEXS" w:hAnsi="MetricHPEXS" w:cs="Arial"/>
            <w:b/>
            <w:bCs/>
            <w:color w:val="000000"/>
            <w:sz w:val="24"/>
            <w:szCs w:val="24"/>
            <w:shd w:val="clear" w:color="auto" w:fill="FFFFFF"/>
          </w:rPr>
          <w:t>https://partner.hpe.com/web/upp-ww/registration</w:t>
        </w:r>
      </w:hyperlink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. Once you have an account, you may access HPE Engage &amp; Grow either directly at</w:t>
      </w:r>
      <w:r w:rsidRPr="00F15F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Pr="00F15F42">
          <w:rPr>
            <w:rStyle w:val="Hyperlink"/>
            <w:rFonts w:ascii="MetricHPEXS" w:hAnsi="MetricHPEXS" w:cs="Arial"/>
            <w:b/>
            <w:bCs/>
            <w:color w:val="000000"/>
            <w:sz w:val="24"/>
            <w:szCs w:val="24"/>
            <w:shd w:val="clear" w:color="auto" w:fill="FFFFFF"/>
          </w:rPr>
          <w:t>https://apac.engageandgrow.hpe.com/</w:t>
        </w:r>
      </w:hyperlink>
      <w:r w:rsidRPr="00F15F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or through the HPE Partner Ready Portal by clicking </w:t>
      </w:r>
      <w:r w:rsidRPr="00F15F42">
        <w:rPr>
          <w:rFonts w:ascii="MetricHPEXS" w:hAnsi="MetricHPEXS" w:cs="MetricHPEXS"/>
          <w:color w:val="000000"/>
          <w:sz w:val="24"/>
          <w:szCs w:val="24"/>
          <w:shd w:val="clear" w:color="auto" w:fill="FFFFFF"/>
        </w:rPr>
        <w:t>“</w:t>
      </w: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My Workplace,</w:t>
      </w:r>
      <w:r w:rsidRPr="00F15F42">
        <w:rPr>
          <w:rFonts w:ascii="MetricHPEXS" w:hAnsi="MetricHPEXS" w:cs="MetricHPEXS"/>
          <w:color w:val="000000"/>
          <w:sz w:val="24"/>
          <w:szCs w:val="24"/>
          <w:shd w:val="clear" w:color="auto" w:fill="FFFFFF"/>
        </w:rPr>
        <w:t>”</w:t>
      </w: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 then </w:t>
      </w:r>
      <w:r w:rsidRPr="00F15F42">
        <w:rPr>
          <w:rFonts w:ascii="MetricHPEXS" w:hAnsi="MetricHPEXS" w:cs="MetricHPEXS"/>
          <w:color w:val="000000"/>
          <w:sz w:val="24"/>
          <w:szCs w:val="24"/>
          <w:shd w:val="clear" w:color="auto" w:fill="FFFFFF"/>
        </w:rPr>
        <w:t>“</w:t>
      </w: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HPE Engage &amp; Grow,” under “Benefits and Rewards.”</w:t>
      </w:r>
    </w:p>
    <w:p w14:paraId="673C459C" w14:textId="77777777" w:rsid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What are the eligible countries?</w:t>
      </w:r>
    </w:p>
    <w:p w14:paraId="7797BBCA" w14:textId="13455E38" w:rsidR="00F15F42" w:rsidRPr="00F15F42" w:rsidRDefault="00F15F42" w:rsidP="00F15F42">
      <w:pPr>
        <w:pStyle w:val="ListParagraph"/>
        <w:numPr>
          <w:ilvl w:val="0"/>
          <w:numId w:val="7"/>
        </w:num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Australia, Bangladesh, Brunei, Cambodia Hong Kong, Indonesia, Laos, Macao, Mongolia, Myanmar, Nepal, New Zealand, Pakistan, Papua New Guinea, Philippines, Singapore, Korea, Sri Lanka, Taiwan, </w:t>
      </w:r>
      <w:proofErr w:type="gramStart"/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Thailand</w:t>
      </w:r>
      <w:proofErr w:type="gramEnd"/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 and Vietnam</w:t>
      </w:r>
    </w:p>
    <w:p w14:paraId="4DE25D4A" w14:textId="77777777" w:rsid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Where can </w:t>
      </w:r>
      <w:proofErr w:type="spellStart"/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BonusPoints</w:t>
      </w:r>
      <w:proofErr w:type="spellEnd"/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 be utilized?</w:t>
      </w:r>
    </w:p>
    <w:p w14:paraId="4D6D17AD" w14:textId="0FDA89BA" w:rsidR="00F15F42" w:rsidRPr="00F15F42" w:rsidRDefault="00F15F42" w:rsidP="00F15F42">
      <w:pPr>
        <w:pStyle w:val="ListParagraph"/>
        <w:numPr>
          <w:ilvl w:val="0"/>
          <w:numId w:val="7"/>
        </w:num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proofErr w:type="spellStart"/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BonusPoints</w:t>
      </w:r>
      <w:proofErr w:type="spellEnd"/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 can be utilized through Debit Card or redeeming them for voucher depending on your country.</w:t>
      </w:r>
    </w:p>
    <w:p w14:paraId="2E22FD8E" w14:textId="77777777" w:rsidR="00F15F42" w:rsidRDefault="00F15F42" w:rsidP="0046072C">
      <w:pP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What is the value of each </w:t>
      </w:r>
      <w:proofErr w:type="spellStart"/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BonusPoint?</w:t>
      </w:r>
      <w:proofErr w:type="spellEnd"/>
    </w:p>
    <w:p w14:paraId="7CD682E0" w14:textId="77777777" w:rsidR="00F15F42" w:rsidRPr="00F15F42" w:rsidRDefault="00F15F42" w:rsidP="00F15F42">
      <w:pPr>
        <w:pStyle w:val="ListParagraph"/>
        <w:numPr>
          <w:ilvl w:val="0"/>
          <w:numId w:val="7"/>
        </w:numPr>
        <w:rPr>
          <w:rFonts w:ascii="MetricHPEXS" w:hAnsi="MetricHPEXS"/>
          <w:sz w:val="24"/>
          <w:szCs w:val="24"/>
        </w:rPr>
      </w:pP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The value of 1 </w:t>
      </w:r>
      <w:proofErr w:type="spellStart"/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BonusPoints</w:t>
      </w:r>
      <w:proofErr w:type="spellEnd"/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 xml:space="preserve"> = 1 USD.</w:t>
      </w:r>
    </w:p>
    <w:p w14:paraId="3EA1E86B" w14:textId="2E855979" w:rsidR="00F15F42" w:rsidRPr="00F15F42" w:rsidRDefault="00F15F42" w:rsidP="00F15F42">
      <w:pPr>
        <w:rPr>
          <w:rFonts w:ascii="MetricHPEXS" w:hAnsi="MetricHPEXS"/>
          <w:sz w:val="24"/>
          <w:szCs w:val="24"/>
        </w:rPr>
      </w:pPr>
      <w:r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br/>
      </w:r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If you have any further enquiries, please</w:t>
      </w:r>
      <w:r w:rsidRPr="00F15F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Pr="00F15F42">
          <w:rPr>
            <w:rStyle w:val="Hyperlink"/>
            <w:rFonts w:ascii="MetricHPEXS" w:hAnsi="MetricHPEXS" w:cs="Arial"/>
            <w:b/>
            <w:bCs/>
            <w:color w:val="000000"/>
            <w:sz w:val="24"/>
            <w:szCs w:val="24"/>
            <w:shd w:val="clear" w:color="auto" w:fill="FFFFFF"/>
          </w:rPr>
          <w:t>contact support here</w:t>
        </w:r>
      </w:hyperlink>
      <w:r w:rsidRPr="00F15F42">
        <w:rPr>
          <w:rFonts w:ascii="MetricHPEXS" w:hAnsi="MetricHPEXS" w:cs="Arial"/>
          <w:color w:val="000000"/>
          <w:sz w:val="24"/>
          <w:szCs w:val="24"/>
          <w:shd w:val="clear" w:color="auto" w:fill="FFFFFF"/>
        </w:rPr>
        <w:t>.</w:t>
      </w:r>
    </w:p>
    <w:sectPr w:rsidR="00F15F42" w:rsidRPr="00F15F42" w:rsidSect="00F15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icHPEX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3EB6"/>
    <w:multiLevelType w:val="hybridMultilevel"/>
    <w:tmpl w:val="5D0E485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2BE7"/>
    <w:multiLevelType w:val="hybridMultilevel"/>
    <w:tmpl w:val="1B3654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6A25"/>
    <w:multiLevelType w:val="hybridMultilevel"/>
    <w:tmpl w:val="C3B0DC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2671"/>
    <w:multiLevelType w:val="hybridMultilevel"/>
    <w:tmpl w:val="9760E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3A01"/>
    <w:multiLevelType w:val="hybridMultilevel"/>
    <w:tmpl w:val="0FF6C3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60DC"/>
    <w:multiLevelType w:val="hybridMultilevel"/>
    <w:tmpl w:val="3CDE6E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8029A"/>
    <w:multiLevelType w:val="hybridMultilevel"/>
    <w:tmpl w:val="1D549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8541">
    <w:abstractNumId w:val="2"/>
  </w:num>
  <w:num w:numId="2" w16cid:durableId="729110447">
    <w:abstractNumId w:val="1"/>
  </w:num>
  <w:num w:numId="3" w16cid:durableId="135609607">
    <w:abstractNumId w:val="3"/>
  </w:num>
  <w:num w:numId="4" w16cid:durableId="1247036650">
    <w:abstractNumId w:val="6"/>
  </w:num>
  <w:num w:numId="5" w16cid:durableId="477964086">
    <w:abstractNumId w:val="4"/>
  </w:num>
  <w:num w:numId="6" w16cid:durableId="1696345160">
    <w:abstractNumId w:val="5"/>
  </w:num>
  <w:num w:numId="7" w16cid:durableId="158606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2C"/>
    <w:rsid w:val="0029613B"/>
    <w:rsid w:val="0046072C"/>
    <w:rsid w:val="00F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E62A"/>
  <w15:chartTrackingRefBased/>
  <w15:docId w15:val="{37D6A3B7-0408-444E-9A39-744C3EB8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607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7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mall">
    <w:name w:val="small"/>
    <w:basedOn w:val="DefaultParagraphFont"/>
    <w:rsid w:val="0046072C"/>
  </w:style>
  <w:style w:type="character" w:customStyle="1" w:styleId="Heading4Char">
    <w:name w:val="Heading 4 Char"/>
    <w:basedOn w:val="DefaultParagraphFont"/>
    <w:link w:val="Heading4"/>
    <w:uiPriority w:val="9"/>
    <w:rsid w:val="0046072C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F15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782">
          <w:marLeft w:val="240"/>
          <w:marRight w:val="240"/>
          <w:marTop w:val="360"/>
          <w:marBottom w:val="360"/>
          <w:divBdr>
            <w:top w:val="single" w:sz="18" w:space="12" w:color="auto"/>
            <w:left w:val="single" w:sz="18" w:space="12" w:color="auto"/>
            <w:bottom w:val="single" w:sz="18" w:space="12" w:color="auto"/>
            <w:right w:val="single" w:sz="18" w:space="12" w:color="auto"/>
          </w:divBdr>
        </w:div>
        <w:div w:id="158229726">
          <w:marLeft w:val="240"/>
          <w:marRight w:val="240"/>
          <w:marTop w:val="0"/>
          <w:marBottom w:val="0"/>
          <w:divBdr>
            <w:top w:val="single" w:sz="18" w:space="6" w:color="01A982"/>
            <w:left w:val="single" w:sz="18" w:space="24" w:color="01A982"/>
            <w:bottom w:val="single" w:sz="18" w:space="6" w:color="01A982"/>
            <w:right w:val="single" w:sz="18" w:space="24" w:color="01A982"/>
          </w:divBdr>
          <w:divsChild>
            <w:div w:id="392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5671">
          <w:marLeft w:val="240"/>
          <w:marRight w:val="240"/>
          <w:marTop w:val="0"/>
          <w:marBottom w:val="0"/>
          <w:divBdr>
            <w:top w:val="single" w:sz="18" w:space="6" w:color="32DAC8"/>
            <w:left w:val="single" w:sz="18" w:space="24" w:color="32DAC8"/>
            <w:bottom w:val="single" w:sz="18" w:space="6" w:color="32DAC8"/>
            <w:right w:val="single" w:sz="18" w:space="24" w:color="32DAC8"/>
          </w:divBdr>
          <w:divsChild>
            <w:div w:id="12989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5323">
          <w:marLeft w:val="240"/>
          <w:marRight w:val="240"/>
          <w:marTop w:val="0"/>
          <w:marBottom w:val="0"/>
          <w:divBdr>
            <w:top w:val="single" w:sz="18" w:space="6" w:color="7630EA"/>
            <w:left w:val="single" w:sz="18" w:space="24" w:color="7630EA"/>
            <w:bottom w:val="single" w:sz="18" w:space="6" w:color="7630EA"/>
            <w:right w:val="single" w:sz="18" w:space="24" w:color="7630EA"/>
          </w:divBdr>
          <w:divsChild>
            <w:div w:id="14151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4826">
          <w:marLeft w:val="240"/>
          <w:marRight w:val="240"/>
          <w:marTop w:val="0"/>
          <w:marBottom w:val="0"/>
          <w:divBdr>
            <w:top w:val="single" w:sz="18" w:space="6" w:color="FF8300"/>
            <w:left w:val="single" w:sz="18" w:space="24" w:color="FF8300"/>
            <w:bottom w:val="single" w:sz="18" w:space="6" w:color="FF8300"/>
            <w:right w:val="single" w:sz="18" w:space="24" w:color="FF8300"/>
          </w:divBdr>
          <w:divsChild>
            <w:div w:id="12456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909">
          <w:marLeft w:val="240"/>
          <w:marRight w:val="240"/>
          <w:marTop w:val="0"/>
          <w:marBottom w:val="0"/>
          <w:divBdr>
            <w:top w:val="single" w:sz="18" w:space="6" w:color="FEC901"/>
            <w:left w:val="single" w:sz="18" w:space="24" w:color="FEC901"/>
            <w:bottom w:val="single" w:sz="18" w:space="6" w:color="FEC901"/>
            <w:right w:val="single" w:sz="18" w:space="24" w:color="FEC901"/>
          </w:divBdr>
          <w:divsChild>
            <w:div w:id="6397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2637">
          <w:marLeft w:val="240"/>
          <w:marRight w:val="240"/>
          <w:marTop w:val="0"/>
          <w:marBottom w:val="0"/>
          <w:divBdr>
            <w:top w:val="single" w:sz="18" w:space="6" w:color="C140FF"/>
            <w:left w:val="single" w:sz="18" w:space="24" w:color="C140FF"/>
            <w:bottom w:val="single" w:sz="18" w:space="6" w:color="C140FF"/>
            <w:right w:val="single" w:sz="18" w:space="24" w:color="C140FF"/>
          </w:divBdr>
          <w:divsChild>
            <w:div w:id="13373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hpereward.com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c.engageandgrow.hpe.co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ner.hpe.com/web/upp-ww/registration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4" ma:contentTypeDescription="Create a new document." ma:contentTypeScope="" ma:versionID="b5e53f57bdb62d068d92110f2d52f844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ab7d9d48e260391fdb7a543955cb0569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da5ac4d-0661-43aa-9d26-45153edb1b62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4957F-C865-4EF1-AEC3-8F7080914C4C}"/>
</file>

<file path=customXml/itemProps2.xml><?xml version="1.0" encoding="utf-8"?>
<ds:datastoreItem xmlns:ds="http://schemas.openxmlformats.org/officeDocument/2006/customXml" ds:itemID="{ED32DF2D-3AD5-4908-83E6-DA009A0ADF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Villaflor</dc:creator>
  <cp:keywords/>
  <dc:description/>
  <cp:lastModifiedBy>Josh Villaflor</cp:lastModifiedBy>
  <cp:revision>1</cp:revision>
  <dcterms:created xsi:type="dcterms:W3CDTF">2022-12-12T20:17:00Z</dcterms:created>
  <dcterms:modified xsi:type="dcterms:W3CDTF">2022-12-12T20:34:00Z</dcterms:modified>
</cp:coreProperties>
</file>